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495A" w14:textId="77777777" w:rsidR="001E67C0" w:rsidRPr="008E09C8" w:rsidRDefault="001E67C0" w:rsidP="008E09C8">
      <w:pPr>
        <w:spacing w:after="0" w:line="276" w:lineRule="auto"/>
        <w:jc w:val="center"/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</w:pPr>
      <w:r w:rsidRPr="008E09C8"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  <w:t>ՀԱՅԵՑԱԿԱՐԳ</w:t>
      </w:r>
    </w:p>
    <w:p w14:paraId="64A7E9EB" w14:textId="6132DDC3" w:rsidR="001E67C0" w:rsidRPr="008E09C8" w:rsidRDefault="001E67C0" w:rsidP="008E09C8">
      <w:pPr>
        <w:spacing w:after="0" w:line="276" w:lineRule="auto"/>
        <w:jc w:val="center"/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</w:pPr>
      <w:r w:rsidRPr="008E09C8"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  <w:t>ՊԵՏԱԿԱՆ ՄԱՍՆԱԿՑՈՒԹՅԱՄԲ ԸՆԿԵՐՈՒԹՅՈՒՆՆԵՐԻ ՍԵՓԱԿԱՆՈՒԹՅԱՆ ՔԱՂԱՔԱԿԱՆՈՒԹՅԱՆ ՄԱՍԻՆ</w:t>
      </w:r>
    </w:p>
    <w:p w14:paraId="77726258" w14:textId="77777777" w:rsidR="001E67C0" w:rsidRPr="008E09C8" w:rsidRDefault="001E67C0" w:rsidP="008E09C8">
      <w:pPr>
        <w:spacing w:after="0" w:line="276" w:lineRule="auto"/>
        <w:jc w:val="center"/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</w:pPr>
    </w:p>
    <w:p w14:paraId="1CA0D5B2" w14:textId="39C03950" w:rsidR="001E67C0" w:rsidRPr="008E09C8" w:rsidRDefault="001E67C0" w:rsidP="008E09C8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</w:pPr>
      <w:r w:rsidRPr="008E09C8"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  <w:t>ՆԵՐԱԾՈՒԹՅՈՒՆ</w:t>
      </w:r>
    </w:p>
    <w:p w14:paraId="1E6371E7" w14:textId="77777777" w:rsidR="00112E70" w:rsidRPr="00D96D9D" w:rsidRDefault="00112E70" w:rsidP="008E09C8">
      <w:pPr>
        <w:pStyle w:val="ListParagraph"/>
        <w:spacing w:after="0" w:line="27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A2BE0C2" w14:textId="77777777" w:rsidR="00CD5106" w:rsidRDefault="00AF71C7" w:rsidP="00B2231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097B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097B">
        <w:rPr>
          <w:rFonts w:ascii="GHEA Grapalat" w:hAnsi="GHEA Grapalat" w:cs="Arial"/>
          <w:sz w:val="24"/>
          <w:szCs w:val="24"/>
          <w:lang w:val="hy-AM"/>
        </w:rPr>
        <w:t>Հայեցակա</w:t>
      </w:r>
      <w:r w:rsidR="00446F78" w:rsidRPr="00A4097B">
        <w:rPr>
          <w:rFonts w:ascii="GHEA Grapalat" w:hAnsi="GHEA Grapalat" w:cs="Arial"/>
          <w:sz w:val="24"/>
          <w:szCs w:val="24"/>
          <w:lang w:val="hy-AM"/>
        </w:rPr>
        <w:t>գով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097B">
        <w:rPr>
          <w:rFonts w:ascii="GHEA Grapalat" w:hAnsi="GHEA Grapalat" w:cs="Arial"/>
          <w:sz w:val="24"/>
          <w:szCs w:val="24"/>
          <w:lang w:val="hy-AM"/>
        </w:rPr>
        <w:t>սահման</w:t>
      </w:r>
      <w:r w:rsidR="00446F78" w:rsidRPr="00A4097B">
        <w:rPr>
          <w:rFonts w:ascii="GHEA Grapalat" w:hAnsi="GHEA Grapalat" w:cs="Arial"/>
          <w:sz w:val="24"/>
          <w:szCs w:val="24"/>
          <w:lang w:val="hy-AM"/>
        </w:rPr>
        <w:t>վում են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097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097B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07FC" w:rsidRPr="001C1BB0">
        <w:rPr>
          <w:rFonts w:ascii="GHEA Grapalat" w:hAnsi="GHEA Grapalat"/>
          <w:sz w:val="24"/>
          <w:szCs w:val="24"/>
          <w:lang w:val="hy-AM"/>
        </w:rPr>
        <w:t>պ</w:t>
      </w:r>
      <w:r w:rsidR="005C07FC" w:rsidRPr="00A4097B">
        <w:rPr>
          <w:rFonts w:ascii="GHEA Grapalat" w:hAnsi="GHEA Grapalat"/>
          <w:sz w:val="24"/>
          <w:szCs w:val="24"/>
          <w:lang w:val="hy-AM"/>
        </w:rPr>
        <w:t>ետական մասնակցությամբ ընկերությունների</w:t>
      </w:r>
      <w:r w:rsidR="005C07FC" w:rsidRPr="001C1BB0">
        <w:rPr>
          <w:rFonts w:ascii="GHEA Grapalat" w:hAnsi="GHEA Grapalat"/>
          <w:sz w:val="24"/>
          <w:szCs w:val="24"/>
          <w:lang w:val="hy-AM"/>
        </w:rPr>
        <w:t>ն</w:t>
      </w:r>
      <w:r w:rsidR="005C07FC" w:rsidRPr="00A4097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07FC" w:rsidRPr="001C1BB0">
        <w:rPr>
          <w:rFonts w:ascii="GHEA Grapalat" w:hAnsi="GHEA Grapalat"/>
          <w:sz w:val="24"/>
          <w:szCs w:val="24"/>
          <w:lang w:val="hy-AM"/>
        </w:rPr>
        <w:t xml:space="preserve">(այսուհետ՝ ՊՄԸ) 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ուղղված </w:t>
      </w:r>
      <w:r w:rsidR="00FA437F" w:rsidRPr="001C1BB0">
        <w:rPr>
          <w:rFonts w:ascii="GHEA Grapalat" w:hAnsi="GHEA Grapalat"/>
          <w:sz w:val="24"/>
          <w:szCs w:val="24"/>
          <w:lang w:val="hy-AM"/>
        </w:rPr>
        <w:t xml:space="preserve">սեփականության </w:t>
      </w:r>
      <w:r w:rsidRPr="00A4097B">
        <w:rPr>
          <w:rFonts w:ascii="GHEA Grapalat" w:hAnsi="GHEA Grapalat"/>
          <w:sz w:val="24"/>
          <w:szCs w:val="24"/>
          <w:lang w:val="hy-AM"/>
        </w:rPr>
        <w:t>քաղաքականության սկզբունքները</w:t>
      </w:r>
      <w:r w:rsidR="00A4097B">
        <w:rPr>
          <w:rFonts w:ascii="GHEA Grapalat" w:hAnsi="GHEA Grapalat"/>
          <w:sz w:val="24"/>
          <w:szCs w:val="24"/>
          <w:lang w:val="hy-AM"/>
        </w:rPr>
        <w:t>՝</w:t>
      </w:r>
      <w:r w:rsidR="00446F78" w:rsidRPr="00A4097B">
        <w:rPr>
          <w:rFonts w:ascii="GHEA Grapalat" w:hAnsi="GHEA Grapalat"/>
          <w:sz w:val="24"/>
          <w:szCs w:val="24"/>
          <w:lang w:val="hy-AM"/>
        </w:rPr>
        <w:t xml:space="preserve"> ելնելով հանրային միջոցների արդյունավետ կառավարման, թափանցիկության, հաշվետվողականության և մրցակցային հավասար դաշտի երաշխավորման ՀՀ կառավարության նպատակներից։</w:t>
      </w:r>
    </w:p>
    <w:p w14:paraId="7D09539F" w14:textId="6FCC42CF" w:rsidR="00783965" w:rsidRPr="00CD5106" w:rsidRDefault="00783965" w:rsidP="00B2231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097B">
        <w:rPr>
          <w:rFonts w:ascii="GHEA Grapalat" w:hAnsi="GHEA Grapalat"/>
          <w:sz w:val="24"/>
          <w:szCs w:val="24"/>
          <w:lang w:val="hy-AM"/>
        </w:rPr>
        <w:t xml:space="preserve">Հիմք </w:t>
      </w:r>
      <w:r w:rsidR="0044017B">
        <w:rPr>
          <w:rFonts w:ascii="GHEA Grapalat" w:hAnsi="GHEA Grapalat"/>
          <w:sz w:val="24"/>
          <w:szCs w:val="24"/>
          <w:lang w:val="hy-AM"/>
        </w:rPr>
        <w:t>ընդունելով վերոնշյալ նպատակները,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 միջազգային լավագույն փորձի ուսումնասիրության և Արժույթի Միջազգային Հիմնադրամի (այսուհետ՝ ԱՄՀ) կողմից 2024 թվականի «Պետական մասնակցությամբ ընկերությունների   սեփականության քաղաքականության մշակում» տեխնիկական աջակցության արդյունքները, ինչպես նաև Տնտեսական համագործակցության և զարգացման կազմակերպության (այսուհետ՝ ՏՀԶԿ)</w:t>
      </w:r>
      <w:r w:rsidR="005C07FC" w:rsidRPr="001C1BB0">
        <w:rPr>
          <w:rFonts w:ascii="GHEA Grapalat" w:hAnsi="GHEA Grapalat"/>
          <w:sz w:val="24"/>
          <w:szCs w:val="24"/>
          <w:lang w:val="hy-AM"/>
        </w:rPr>
        <w:t>՝</w:t>
      </w:r>
      <w:r w:rsidRPr="00A4097B">
        <w:rPr>
          <w:rFonts w:ascii="GHEA Grapalat" w:hAnsi="GHEA Grapalat"/>
          <w:sz w:val="24"/>
          <w:szCs w:val="24"/>
          <w:lang w:val="hy-AM"/>
        </w:rPr>
        <w:t xml:space="preserve"> ՊՄԸ-ների կորպորատիվ կառավարման վերաբերյալ ուղեցույցները՝ ստորև ներկայացված են ՊՄԸ-ներին ուղղված քաղաքականության հայեցակարգային մոտեցումները:</w:t>
      </w:r>
    </w:p>
    <w:p w14:paraId="2B825C9F" w14:textId="611E9CC7" w:rsidR="006B4CA0" w:rsidRPr="00E62261" w:rsidRDefault="006C67EF" w:rsidP="00B2231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t>Կառավարություն</w:t>
      </w:r>
      <w:r w:rsidR="00983ED6" w:rsidRPr="00E62261">
        <w:rPr>
          <w:rFonts w:ascii="GHEA Grapalat" w:hAnsi="GHEA Grapalat" w:cs="Arial"/>
          <w:sz w:val="24"/>
          <w:szCs w:val="24"/>
          <w:lang w:val="hy-AM"/>
        </w:rPr>
        <w:t>ը</w:t>
      </w:r>
      <w:r w:rsidR="00D20546" w:rsidRPr="008E09C8">
        <w:rPr>
          <w:rFonts w:ascii="GHEA Grapalat" w:hAnsi="GHEA Grapalat" w:cs="Arial"/>
          <w:sz w:val="24"/>
          <w:szCs w:val="24"/>
          <w:lang w:val="hy-AM"/>
        </w:rPr>
        <w:t>,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</w:t>
      </w:r>
      <w:r w:rsidR="00D20546" w:rsidRPr="00E62261">
        <w:rPr>
          <w:rFonts w:ascii="GHEA Grapalat" w:hAnsi="GHEA Grapalat"/>
          <w:sz w:val="24"/>
          <w:szCs w:val="24"/>
          <w:lang w:val="hy-AM"/>
        </w:rPr>
        <w:t>հիմնվելով սույն հայեցակարգի վրա</w:t>
      </w:r>
      <w:r w:rsidR="00D20546" w:rsidRPr="008E09C8">
        <w:rPr>
          <w:rFonts w:ascii="GHEA Grapalat" w:hAnsi="GHEA Grapalat"/>
          <w:sz w:val="24"/>
          <w:szCs w:val="24"/>
          <w:lang w:val="hy-AM"/>
        </w:rPr>
        <w:t>,</w:t>
      </w:r>
      <w:r w:rsidR="00D20546" w:rsidRPr="00D96D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հանձնառություն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է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5C07FC" w:rsidRPr="005C07FC">
        <w:rPr>
          <w:rFonts w:ascii="GHEA Grapalat" w:hAnsi="GHEA Grapalat" w:cs="Arial"/>
          <w:sz w:val="24"/>
          <w:szCs w:val="24"/>
          <w:lang w:val="hy-AM"/>
        </w:rPr>
        <w:t xml:space="preserve">ստանձնում </w:t>
      </w:r>
      <w:r w:rsidRPr="00E62261">
        <w:rPr>
          <w:rFonts w:ascii="GHEA Grapalat" w:hAnsi="GHEA Grapalat"/>
          <w:sz w:val="24"/>
          <w:szCs w:val="24"/>
          <w:lang w:val="hy-AM"/>
        </w:rPr>
        <w:t>մշակ</w:t>
      </w:r>
      <w:r w:rsidR="00987311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D20546" w:rsidRPr="00E62261">
        <w:rPr>
          <w:rFonts w:ascii="GHEA Grapalat" w:hAnsi="GHEA Grapalat"/>
          <w:sz w:val="24"/>
          <w:szCs w:val="24"/>
          <w:lang w:val="hy-AM"/>
        </w:rPr>
        <w:t>ՊՄԸ-ների</w:t>
      </w:r>
      <w:r w:rsidR="00987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/>
          <w:sz w:val="24"/>
          <w:szCs w:val="24"/>
          <w:lang w:val="hy-AM"/>
        </w:rPr>
        <w:t>սեփականության միասնական քաղաքականություն՝ հստակություն ապահովելու</w:t>
      </w:r>
      <w:r w:rsidR="00987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/>
          <w:sz w:val="24"/>
          <w:szCs w:val="24"/>
          <w:lang w:val="hy-AM"/>
        </w:rPr>
        <w:t>պետության</w:t>
      </w:r>
      <w:r w:rsidR="00D20546" w:rsidRPr="00E62261">
        <w:rPr>
          <w:rFonts w:ascii="GHEA Grapalat" w:hAnsi="GHEA Grapalat"/>
          <w:sz w:val="24"/>
          <w:szCs w:val="24"/>
          <w:lang w:val="hy-AM"/>
        </w:rPr>
        <w:t>՝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0AD" w:rsidRPr="00E62261">
        <w:rPr>
          <w:rFonts w:ascii="GHEA Grapalat" w:hAnsi="GHEA Grapalat"/>
          <w:sz w:val="24"/>
          <w:szCs w:val="24"/>
          <w:lang w:val="hy-AM"/>
        </w:rPr>
        <w:t xml:space="preserve">որպես սեփականատիրոջ 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նպատակների, առաջնահերթությունների և </w:t>
      </w:r>
      <w:r w:rsidR="002640AD" w:rsidRPr="00E62261">
        <w:rPr>
          <w:rFonts w:ascii="GHEA Grapalat" w:hAnsi="GHEA Grapalat"/>
          <w:sz w:val="24"/>
          <w:szCs w:val="24"/>
          <w:lang w:val="hy-AM"/>
        </w:rPr>
        <w:t>դրանց հասնելու համար կիրառվելիք ռազմավարական գործիքակազմի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311">
        <w:rPr>
          <w:rFonts w:ascii="GHEA Grapalat" w:hAnsi="GHEA Grapalat"/>
          <w:sz w:val="24"/>
          <w:szCs w:val="24"/>
          <w:lang w:val="hy-AM"/>
        </w:rPr>
        <w:t>ուղղություններով</w:t>
      </w:r>
      <w:r w:rsidRPr="00E62261">
        <w:rPr>
          <w:rFonts w:ascii="GHEA Grapalat" w:hAnsi="GHEA Grapalat"/>
          <w:sz w:val="24"/>
          <w:szCs w:val="24"/>
          <w:lang w:val="hy-AM"/>
        </w:rPr>
        <w:t>:</w:t>
      </w:r>
    </w:p>
    <w:p w14:paraId="47D1E598" w14:textId="77777777" w:rsidR="00997445" w:rsidRPr="00E62261" w:rsidRDefault="00997445" w:rsidP="00B22319">
      <w:pPr>
        <w:spacing w:after="16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6BC2B4A" w14:textId="77777777" w:rsidR="00997445" w:rsidRPr="008E09C8" w:rsidRDefault="00997445" w:rsidP="00B22319">
      <w:pPr>
        <w:spacing w:after="0" w:line="276" w:lineRule="auto"/>
        <w:ind w:firstLine="720"/>
        <w:jc w:val="center"/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</w:pPr>
      <w:r w:rsidRPr="008E09C8"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  <w:t>2. ՊԵՏԱԿԱՆ ՄԱՍՆԱԿՑՈՒԹՅԱՄԲ ԸՆԿԵՐՈՒԹՅՈՒՆՆԵՐԻ ՍԱՀՄԱՆՈՒՄԸ</w:t>
      </w:r>
    </w:p>
    <w:p w14:paraId="5BD595DD" w14:textId="77777777" w:rsidR="00997445" w:rsidRPr="00D96D9D" w:rsidRDefault="00997445" w:rsidP="00B22319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632E529" w14:textId="7A519A9D" w:rsidR="00997445" w:rsidRPr="008E09C8" w:rsidRDefault="00FA6E10" w:rsidP="00B22319">
      <w:pPr>
        <w:spacing w:after="16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 w:cs="Arial"/>
          <w:sz w:val="24"/>
          <w:szCs w:val="24"/>
          <w:lang w:val="hy-AM"/>
        </w:rPr>
        <w:t>Սույն հ</w:t>
      </w:r>
      <w:r w:rsidR="00997445" w:rsidRPr="00E62261">
        <w:rPr>
          <w:rFonts w:ascii="GHEA Grapalat" w:hAnsi="GHEA Grapalat" w:cs="Arial"/>
          <w:sz w:val="24"/>
          <w:szCs w:val="24"/>
          <w:lang w:val="hy-AM"/>
        </w:rPr>
        <w:t>այեցակարգի</w:t>
      </w:r>
      <w:r w:rsidR="00997445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445" w:rsidRPr="00E62261">
        <w:rPr>
          <w:rFonts w:ascii="GHEA Grapalat" w:hAnsi="GHEA Grapalat" w:cs="Arial"/>
          <w:sz w:val="24"/>
          <w:szCs w:val="24"/>
          <w:lang w:val="hy-AM"/>
        </w:rPr>
        <w:t>իմաստով</w:t>
      </w:r>
      <w:r w:rsidR="00997445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445" w:rsidRPr="00E62261">
        <w:rPr>
          <w:rFonts w:ascii="GHEA Grapalat" w:hAnsi="GHEA Grapalat" w:cs="Arial"/>
          <w:sz w:val="24"/>
          <w:szCs w:val="24"/>
          <w:lang w:val="hy-AM"/>
        </w:rPr>
        <w:t>ՊՄԸ</w:t>
      </w:r>
      <w:r w:rsidR="00997445" w:rsidRPr="00E62261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E14D6F" w:rsidRPr="001C1BB0">
        <w:rPr>
          <w:rFonts w:ascii="GHEA Grapalat" w:hAnsi="GHEA Grapalat"/>
          <w:sz w:val="24"/>
          <w:szCs w:val="24"/>
          <w:lang w:val="hy-AM"/>
        </w:rPr>
        <w:t xml:space="preserve">հանդիսանում </w:t>
      </w:r>
      <w:r w:rsidR="00997445" w:rsidRPr="00E62261">
        <w:rPr>
          <w:rFonts w:ascii="GHEA Grapalat" w:hAnsi="GHEA Grapalat"/>
          <w:sz w:val="24"/>
          <w:szCs w:val="24"/>
          <w:lang w:val="hy-AM"/>
        </w:rPr>
        <w:t>այն ընկերությունը, որի բաժնետոմ</w:t>
      </w:r>
      <w:r w:rsidR="009C1CBC">
        <w:rPr>
          <w:rFonts w:ascii="GHEA Grapalat" w:hAnsi="GHEA Grapalat"/>
          <w:sz w:val="24"/>
          <w:szCs w:val="24"/>
          <w:lang w:val="hy-AM"/>
        </w:rPr>
        <w:t>սերի 50 կամ ավելի տոկոսը պետության</w:t>
      </w:r>
      <w:r w:rsidR="00997445" w:rsidRPr="00E62261">
        <w:rPr>
          <w:rFonts w:ascii="GHEA Grapalat" w:hAnsi="GHEA Grapalat"/>
          <w:sz w:val="24"/>
          <w:szCs w:val="24"/>
          <w:lang w:val="hy-AM"/>
        </w:rPr>
        <w:t xml:space="preserve"> կամ համայնքի սեփականությունն է:</w:t>
      </w:r>
      <w:r w:rsidR="00997445" w:rsidRPr="00D96D9D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997445" w:rsidRPr="00D96D9D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445" w:rsidRPr="008E09C8">
        <w:rPr>
          <w:rFonts w:ascii="GHEA Grapalat" w:hAnsi="GHEA Grapalat"/>
          <w:sz w:val="24"/>
          <w:szCs w:val="24"/>
          <w:lang w:val="hy-AM"/>
        </w:rPr>
        <w:t>Սույն հայեցակարգի դրույթները կիրառվում են ՊՄԸ-ների, ինչպես նաև մասնավոր ընկերություններում պետությանը պատկանող մինորիտար բաժնետոմսերի նկատմամբ, որտեղ պետությանն են պատկանում 50 տոկոսից պակաս բաժնետոմսերը։</w:t>
      </w:r>
    </w:p>
    <w:p w14:paraId="298E42D8" w14:textId="5DE5C1BF" w:rsidR="00997445" w:rsidRPr="00E62261" w:rsidRDefault="00997445" w:rsidP="00B22319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Սույն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հայեցակարգը դասակարգում է ընկերություններն՝ ըստ կառավարման մարմինների և պետական ձեռնարկությունների (կորպորացիաներ)՝ համաձայն ԱՄՀ-ի </w:t>
      </w:r>
      <w:r w:rsidRPr="00E62261">
        <w:rPr>
          <w:rFonts w:ascii="GHEA Grapalat" w:hAnsi="GHEA Grapalat"/>
          <w:sz w:val="24"/>
          <w:szCs w:val="24"/>
          <w:lang w:val="hy-AM"/>
        </w:rPr>
        <w:lastRenderedPageBreak/>
        <w:t>Կառավարության ֆինանսական վիճակագրության ձեռնարկի</w:t>
      </w:r>
      <w:r w:rsidRPr="008E09C8">
        <w:rPr>
          <w:rStyle w:val="FootnoteReference"/>
          <w:rFonts w:ascii="GHEA Grapalat" w:eastAsiaTheme="majorEastAsia" w:hAnsi="GHEA Grapalat"/>
          <w:sz w:val="24"/>
          <w:szCs w:val="24"/>
          <w:lang w:val="hy-AM"/>
        </w:rPr>
        <w:footnoteReference w:id="2"/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(այսուհետ՝ ԿՖՎՁ): Համաձայն </w:t>
      </w:r>
      <w:r w:rsidR="009C1CBC">
        <w:rPr>
          <w:rFonts w:ascii="GHEA Grapalat" w:hAnsi="GHEA Grapalat"/>
          <w:sz w:val="24"/>
          <w:szCs w:val="24"/>
          <w:lang w:val="hy-AM"/>
        </w:rPr>
        <w:t>ԿՖՎՁ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-ի՝ </w:t>
      </w:r>
      <w:r w:rsidR="004017BD">
        <w:rPr>
          <w:rFonts w:ascii="GHEA Grapalat" w:hAnsi="GHEA Grapalat"/>
          <w:sz w:val="24"/>
          <w:szCs w:val="24"/>
          <w:lang w:val="hy-AM"/>
        </w:rPr>
        <w:t>ՊՄԸ-ն բնորոշվում է որպես պետական ձեռնարկություն, որը</w:t>
      </w:r>
      <w:r w:rsidRPr="00E62261">
        <w:rPr>
          <w:rFonts w:ascii="GHEA Grapalat" w:hAnsi="GHEA Grapalat"/>
          <w:sz w:val="24"/>
          <w:szCs w:val="24"/>
          <w:lang w:val="hy-AM"/>
        </w:rPr>
        <w:t>.</w:t>
      </w:r>
    </w:p>
    <w:p w14:paraId="51A70FFD" w14:textId="398F7F23" w:rsidR="00997445" w:rsidRPr="00E62261" w:rsidRDefault="00997445" w:rsidP="008E09C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/>
          <w:sz w:val="24"/>
          <w:szCs w:val="24"/>
          <w:lang w:val="hy-AM"/>
        </w:rPr>
        <w:t xml:space="preserve">ի վիճակի է շահույթ կամ այլ ֆինանսական օգուտ </w:t>
      </w:r>
      <w:r w:rsidR="009C1CBC">
        <w:rPr>
          <w:rFonts w:ascii="GHEA Grapalat" w:hAnsi="GHEA Grapalat"/>
          <w:sz w:val="24"/>
          <w:szCs w:val="24"/>
          <w:lang w:val="hy-AM"/>
        </w:rPr>
        <w:t>գեներացնել, օրենքով համարվում է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առանձին իրավաբանական անձ և ստեղծված </w:t>
      </w:r>
      <w:r w:rsidR="009C1CBC">
        <w:rPr>
          <w:rFonts w:ascii="GHEA Grapalat" w:hAnsi="GHEA Grapalat"/>
          <w:sz w:val="24"/>
          <w:szCs w:val="24"/>
          <w:lang w:val="hy-AM"/>
        </w:rPr>
        <w:t>է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առևտրային գործունեությամբ զբաղվելու նպատակով.</w:t>
      </w:r>
    </w:p>
    <w:p w14:paraId="111D4D9B" w14:textId="7EB4CE3A" w:rsidR="00997445" w:rsidRPr="00E62261" w:rsidRDefault="00997445" w:rsidP="008E09C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/>
          <w:sz w:val="24"/>
          <w:szCs w:val="24"/>
          <w:lang w:val="hy-AM"/>
        </w:rPr>
        <w:t xml:space="preserve">վերահսկվում </w:t>
      </w:r>
      <w:r w:rsidR="009C1CBC">
        <w:rPr>
          <w:rFonts w:ascii="GHEA Grapalat" w:hAnsi="GHEA Grapalat"/>
          <w:sz w:val="24"/>
          <w:szCs w:val="24"/>
          <w:lang w:val="hy-AM"/>
        </w:rPr>
        <w:t>է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կառավարման մարմինների կամ այլ պետական ընկերությունների կողմից:</w:t>
      </w:r>
    </w:p>
    <w:p w14:paraId="2C36EDFB" w14:textId="77777777" w:rsidR="00997445" w:rsidRPr="00E62261" w:rsidRDefault="00997445" w:rsidP="008E09C8">
      <w:pPr>
        <w:spacing w:after="0" w:line="276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2547246" w14:textId="5D835FF1" w:rsidR="00997445" w:rsidRPr="00D96D9D" w:rsidRDefault="00997445" w:rsidP="008E09C8">
      <w:pPr>
        <w:spacing w:after="0" w:line="276" w:lineRule="auto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6D9D">
        <w:rPr>
          <w:rFonts w:ascii="GHEA Grapalat" w:hAnsi="GHEA Grapalat"/>
          <w:b/>
          <w:sz w:val="24"/>
          <w:szCs w:val="24"/>
          <w:lang w:val="hy-AM"/>
        </w:rPr>
        <w:t>Հանրայ</w:t>
      </w:r>
      <w:r w:rsidRPr="00E62261">
        <w:rPr>
          <w:rFonts w:ascii="GHEA Grapalat" w:hAnsi="GHEA Grapalat"/>
          <w:b/>
          <w:sz w:val="24"/>
          <w:szCs w:val="24"/>
          <w:lang w:val="hy-AM"/>
        </w:rPr>
        <w:t>ին հատվածը և դրա հիմնական բաղադրիչները</w:t>
      </w:r>
      <w:r w:rsidRPr="00D96D9D">
        <w:rPr>
          <w:rStyle w:val="FootnoteReference"/>
          <w:rFonts w:ascii="GHEA Grapalat" w:eastAsiaTheme="majorEastAsia" w:hAnsi="GHEA Grapalat"/>
          <w:b/>
          <w:sz w:val="24"/>
          <w:szCs w:val="24"/>
          <w:lang w:val="hy-AM"/>
        </w:rPr>
        <w:footnoteReference w:id="3"/>
      </w:r>
    </w:p>
    <w:p w14:paraId="0CB0DB33" w14:textId="77777777" w:rsidR="00997445" w:rsidRPr="00E62261" w:rsidRDefault="00997445" w:rsidP="008E09C8">
      <w:pPr>
        <w:spacing w:after="0" w:line="276" w:lineRule="auto"/>
        <w:jc w:val="right"/>
        <w:rPr>
          <w:rFonts w:ascii="Cambria Math" w:hAnsi="Cambria Math"/>
          <w:b/>
          <w:sz w:val="24"/>
          <w:szCs w:val="24"/>
          <w:lang w:val="hy-AM"/>
        </w:rPr>
      </w:pPr>
      <w:r w:rsidRPr="00E62261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Գծապատկեր </w:t>
      </w:r>
      <w:r w:rsidRPr="00E62261">
        <w:rPr>
          <w:rFonts w:ascii="GHEA Grapalat" w:hAnsi="GHEA Grapalat"/>
          <w:b/>
          <w:sz w:val="24"/>
          <w:szCs w:val="24"/>
          <w:lang w:val="hy-AM"/>
        </w:rPr>
        <w:t>1</w:t>
      </w:r>
      <w:r w:rsidRPr="00E62261">
        <w:rPr>
          <w:rFonts w:ascii="Cambria Math" w:hAnsi="Cambria Math"/>
          <w:b/>
          <w:sz w:val="24"/>
          <w:szCs w:val="24"/>
          <w:lang w:val="hy-AM"/>
        </w:rPr>
        <w:t>․</w:t>
      </w:r>
    </w:p>
    <w:p w14:paraId="77D5D8FD" w14:textId="5BC8EC95" w:rsidR="00997445" w:rsidRPr="00E62261" w:rsidRDefault="002B41E0" w:rsidP="002B41E0">
      <w:pPr>
        <w:spacing w:after="0" w:line="276" w:lineRule="auto"/>
        <w:ind w:left="567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656D82E8" wp14:editId="4CB44040">
            <wp:extent cx="6321011" cy="43269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26" cy="433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25B38" w14:textId="77777777" w:rsidR="00997445" w:rsidRPr="00D96D9D" w:rsidRDefault="00997445" w:rsidP="008E09C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9A2502E" w14:textId="6902E5E6" w:rsidR="00997445" w:rsidRPr="00E62261" w:rsidRDefault="00997445" w:rsidP="008E09C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/>
          <w:sz w:val="24"/>
          <w:szCs w:val="24"/>
          <w:lang w:val="hy-AM"/>
        </w:rPr>
        <w:t xml:space="preserve">ՊՄԸ-ների սեփականության քաղաքականությունը պետք է հիմնականում կենտրոնանա այն ընկերությունների վրա, որոնք համաձայն </w:t>
      </w:r>
      <w:r w:rsidR="00EB0E97">
        <w:rPr>
          <w:rFonts w:ascii="GHEA Grapalat" w:hAnsi="GHEA Grapalat"/>
          <w:sz w:val="24"/>
          <w:szCs w:val="24"/>
          <w:lang w:val="hy-AM"/>
        </w:rPr>
        <w:t>ԿՖՎՁ-ի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՝ սահմանվում են </w:t>
      </w:r>
      <w:r w:rsidR="00ED2702">
        <w:rPr>
          <w:rFonts w:ascii="GHEA Grapalat" w:hAnsi="GHEA Grapalat"/>
          <w:sz w:val="24"/>
          <w:szCs w:val="24"/>
          <w:lang w:val="hy-AM"/>
        </w:rPr>
        <w:lastRenderedPageBreak/>
        <w:t>պետական ոչ ֆինանսական ընկերություններ</w:t>
      </w:r>
      <w:r w:rsidR="00873930" w:rsidRPr="008739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73930">
        <w:rPr>
          <w:rFonts w:ascii="GHEA Grapalat" w:hAnsi="GHEA Grapalat"/>
          <w:sz w:val="24"/>
          <w:szCs w:val="24"/>
          <w:lang w:val="hy-AM"/>
        </w:rPr>
        <w:t xml:space="preserve">և այլ </w:t>
      </w:r>
      <w:r w:rsidR="009030FF">
        <w:rPr>
          <w:rFonts w:ascii="GHEA Grapalat" w:hAnsi="GHEA Grapalat"/>
          <w:sz w:val="24"/>
          <w:szCs w:val="24"/>
          <w:lang w:val="hy-AM"/>
        </w:rPr>
        <w:t>պ</w:t>
      </w:r>
      <w:r w:rsidR="00873930">
        <w:rPr>
          <w:rFonts w:ascii="GHEA Grapalat" w:hAnsi="GHEA Grapalat"/>
          <w:sz w:val="24"/>
          <w:szCs w:val="24"/>
          <w:lang w:val="hy-AM"/>
        </w:rPr>
        <w:t>ետական ֆինանսական ընկերություն</w:t>
      </w:r>
      <w:r w:rsidR="009030FF">
        <w:rPr>
          <w:rFonts w:ascii="GHEA Grapalat" w:hAnsi="GHEA Grapalat"/>
          <w:sz w:val="24"/>
          <w:szCs w:val="24"/>
          <w:lang w:val="hy-AM"/>
        </w:rPr>
        <w:t>ները</w:t>
      </w:r>
      <w:r w:rsidRPr="00E62261">
        <w:rPr>
          <w:rFonts w:ascii="GHEA Grapalat" w:hAnsi="GHEA Grapalat"/>
          <w:sz w:val="24"/>
          <w:szCs w:val="24"/>
          <w:lang w:val="hy-AM"/>
        </w:rPr>
        <w:t>:</w:t>
      </w:r>
    </w:p>
    <w:p w14:paraId="62345612" w14:textId="77777777" w:rsidR="001E67C0" w:rsidRPr="008E09C8" w:rsidRDefault="001E67C0" w:rsidP="008E09C8">
      <w:pPr>
        <w:spacing w:after="160" w:line="276" w:lineRule="auto"/>
        <w:jc w:val="both"/>
        <w:rPr>
          <w:rFonts w:ascii="GHEA Grapalat" w:hAnsi="GHEA Grapalat"/>
          <w:color w:val="215E99" w:themeColor="text2" w:themeTint="BF"/>
          <w:sz w:val="24"/>
          <w:szCs w:val="24"/>
          <w:lang w:val="hy-AM"/>
        </w:rPr>
      </w:pPr>
    </w:p>
    <w:p w14:paraId="7D582986" w14:textId="0894B56A" w:rsidR="003C53B3" w:rsidRPr="008E09C8" w:rsidRDefault="00104619" w:rsidP="00465C3B">
      <w:pPr>
        <w:spacing w:after="160" w:line="259" w:lineRule="auto"/>
        <w:jc w:val="center"/>
        <w:rPr>
          <w:rFonts w:ascii="GHEA Grapalat" w:hAnsi="GHEA Grapalat"/>
          <w:b/>
          <w:color w:val="215E99" w:themeColor="text2" w:themeTint="BF"/>
          <w:sz w:val="24"/>
          <w:lang w:val="hy-AM"/>
        </w:rPr>
      </w:pPr>
      <w:r w:rsidRPr="00513BBC">
        <w:rPr>
          <w:rFonts w:ascii="GHEA Grapalat" w:hAnsi="GHEA Grapalat"/>
          <w:b/>
          <w:color w:val="215E99" w:themeColor="text2" w:themeTint="BF"/>
          <w:sz w:val="24"/>
          <w:lang w:val="hy-AM"/>
        </w:rPr>
        <w:t>3</w:t>
      </w:r>
      <w:r w:rsidR="00112E70" w:rsidRPr="00513BBC">
        <w:rPr>
          <w:rFonts w:ascii="Cambria Math" w:hAnsi="Cambria Math" w:cs="Cambria Math"/>
          <w:b/>
          <w:color w:val="215E99" w:themeColor="text2" w:themeTint="BF"/>
          <w:sz w:val="24"/>
          <w:lang w:val="hy-AM"/>
        </w:rPr>
        <w:t>․</w:t>
      </w:r>
      <w:r w:rsidR="00112E70" w:rsidRPr="008E09C8">
        <w:rPr>
          <w:rFonts w:ascii="GHEA Grapalat" w:hAnsi="GHEA Grapalat"/>
          <w:b/>
          <w:color w:val="215E99" w:themeColor="text2" w:themeTint="BF"/>
          <w:sz w:val="24"/>
          <w:lang w:val="hy-AM"/>
        </w:rPr>
        <w:t xml:space="preserve"> ՊՄԸ-ՆԵՐԻ</w:t>
      </w:r>
      <w:r w:rsidR="003C53B3" w:rsidRPr="008E09C8">
        <w:rPr>
          <w:rFonts w:ascii="GHEA Grapalat" w:hAnsi="GHEA Grapalat"/>
          <w:b/>
          <w:color w:val="215E99" w:themeColor="text2" w:themeTint="BF"/>
          <w:sz w:val="24"/>
          <w:lang w:val="hy-AM"/>
        </w:rPr>
        <w:t xml:space="preserve"> ՍԵՓԱԿԱՆՈՒԹՅԱՆ ՔԱՂԱՔԱԿԱՆՈՒԹՅՈՒՆԸ</w:t>
      </w:r>
    </w:p>
    <w:p w14:paraId="1F7536A5" w14:textId="191DF35F" w:rsidR="00605DC2" w:rsidRPr="008E09C8" w:rsidRDefault="003C53B3" w:rsidP="008E09C8">
      <w:pPr>
        <w:spacing w:line="276" w:lineRule="auto"/>
        <w:rPr>
          <w:rFonts w:ascii="GHEA Grapalat" w:hAnsi="GHEA Grapalat"/>
          <w:b/>
          <w:color w:val="215E99" w:themeColor="text2" w:themeTint="BF"/>
          <w:sz w:val="24"/>
          <w:lang w:val="hy-AM"/>
        </w:rPr>
      </w:pPr>
      <w:r w:rsidRPr="008E09C8">
        <w:rPr>
          <w:rFonts w:ascii="GHEA Grapalat" w:hAnsi="GHEA Grapalat"/>
          <w:b/>
          <w:color w:val="215E99" w:themeColor="text2" w:themeTint="BF"/>
          <w:sz w:val="24"/>
          <w:lang w:val="hy-AM"/>
        </w:rPr>
        <w:t>Նպատակները</w:t>
      </w:r>
    </w:p>
    <w:p w14:paraId="244BDBF4" w14:textId="6E3BF7FF" w:rsidR="00C038D2" w:rsidRDefault="00C038D2" w:rsidP="008E09C8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96D9D">
        <w:rPr>
          <w:rFonts w:ascii="GHEA Grapalat" w:hAnsi="GHEA Grapalat" w:cs="Arial"/>
          <w:sz w:val="24"/>
          <w:szCs w:val="24"/>
          <w:lang w:val="hy-AM"/>
        </w:rPr>
        <w:t>ՀՀ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կառավարության՝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սեփականատիրոջ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261">
        <w:rPr>
          <w:rFonts w:ascii="GHEA Grapalat" w:hAnsi="GHEA Grapalat" w:cs="Arial"/>
          <w:sz w:val="24"/>
          <w:szCs w:val="24"/>
          <w:lang w:val="hy-AM"/>
        </w:rPr>
        <w:t>ՀՀ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անունից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հիմնավորումը պետք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է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բխի հանրային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նպատակներից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261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իրենց հերթին կանխորոշելու են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ՊՄԸ-ների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նպատակները։</w:t>
      </w:r>
      <w:r w:rsidR="00805732" w:rsidRPr="0080573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644AF05" w14:textId="77777777" w:rsidR="00D96D9D" w:rsidRPr="005708C9" w:rsidRDefault="00D96D9D" w:rsidP="00D96D9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08C9">
        <w:rPr>
          <w:rFonts w:ascii="GHEA Grapalat" w:hAnsi="GHEA Grapalat"/>
          <w:b/>
          <w:sz w:val="24"/>
          <w:szCs w:val="24"/>
          <w:lang w:val="hy-AM"/>
        </w:rPr>
        <w:t>Պետության նպատակները որպես սեփականատեր</w:t>
      </w:r>
      <w:r>
        <w:rPr>
          <w:rStyle w:val="FootnoteReference"/>
          <w:rFonts w:ascii="GHEA Grapalat" w:eastAsiaTheme="majorEastAsia" w:hAnsi="GHEA Grapalat"/>
          <w:b/>
          <w:sz w:val="24"/>
          <w:szCs w:val="24"/>
          <w:lang w:val="hy-AM"/>
        </w:rPr>
        <w:footnoteReference w:id="4"/>
      </w:r>
    </w:p>
    <w:p w14:paraId="53FB3712" w14:textId="3A455C7A" w:rsidR="00D96D9D" w:rsidRPr="005708C9" w:rsidRDefault="00D96D9D" w:rsidP="00D96D9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238F1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Գծապատկեր </w:t>
      </w:r>
      <w:r w:rsidRPr="008E09C8">
        <w:rPr>
          <w:rFonts w:ascii="GHEA Grapalat" w:hAnsi="GHEA Grapalat"/>
          <w:b/>
          <w:sz w:val="24"/>
          <w:szCs w:val="24"/>
          <w:lang w:val="hy-AM"/>
        </w:rPr>
        <w:t>2</w:t>
      </w:r>
      <w:r w:rsidRPr="005708C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677C88BA" w14:textId="77777777" w:rsidR="00D96D9D" w:rsidRDefault="00D96D9D" w:rsidP="00D96D9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2F962395" w14:textId="77777777" w:rsidR="00D96D9D" w:rsidRDefault="00D96D9D" w:rsidP="00D96D9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DDFE711" wp14:editId="01B04C26">
            <wp:simplePos x="0" y="0"/>
            <wp:positionH relativeFrom="column">
              <wp:posOffset>1639909</wp:posOffset>
            </wp:positionH>
            <wp:positionV relativeFrom="paragraph">
              <wp:posOffset>313143</wp:posOffset>
            </wp:positionV>
            <wp:extent cx="3000375" cy="2996565"/>
            <wp:effectExtent l="0" t="0" r="952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9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EA16C" w14:textId="77777777" w:rsidR="003313AE" w:rsidRDefault="003313AE" w:rsidP="008E09C8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12FBF9A3" w14:textId="60699002" w:rsidR="00B07011" w:rsidRDefault="00FE33CF" w:rsidP="008E09C8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ՊՄԸ–ները պետք է հստակ դասակարգվեն ըստ հանրային քաղաքականություն իրականացնող և առևտրային նպատակ</w:t>
      </w:r>
      <w:r w:rsidR="00264A1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64A1D">
        <w:rPr>
          <w:rFonts w:ascii="GHEA Grapalat" w:hAnsi="GHEA Grapalat" w:cs="Arial"/>
          <w:sz w:val="24"/>
          <w:szCs w:val="24"/>
          <w:lang w:val="hy-AM"/>
        </w:rPr>
        <w:t>(</w:t>
      </w:r>
      <w:r>
        <w:rPr>
          <w:rFonts w:ascii="GHEA Grapalat" w:hAnsi="GHEA Grapalat" w:cs="Arial"/>
          <w:sz w:val="24"/>
          <w:szCs w:val="24"/>
          <w:lang w:val="hy-AM"/>
        </w:rPr>
        <w:t>շահույթ</w:t>
      </w:r>
      <w:r w:rsidRPr="00264A1D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հետապնդող ընկերությունների։ Երկու </w:t>
      </w:r>
      <w:r w:rsidR="00264A1D">
        <w:rPr>
          <w:rFonts w:ascii="GHEA Grapalat" w:hAnsi="GHEA Grapalat" w:cs="Arial"/>
          <w:sz w:val="24"/>
          <w:szCs w:val="24"/>
          <w:lang w:val="hy-AM"/>
        </w:rPr>
        <w:t>տեսակի դեպքում էլ</w:t>
      </w:r>
      <w:r>
        <w:rPr>
          <w:rFonts w:ascii="GHEA Grapalat" w:hAnsi="GHEA Grapalat" w:cs="Arial"/>
          <w:sz w:val="24"/>
          <w:szCs w:val="24"/>
          <w:lang w:val="hy-AM"/>
        </w:rPr>
        <w:t xml:space="preserve"> պետք է սահմանվեն երկարաժամկետ ֆինանսական կայունության ցուցանիշներ։ </w:t>
      </w:r>
    </w:p>
    <w:p w14:paraId="4CC68B8C" w14:textId="2824306D" w:rsidR="00264A1D" w:rsidRDefault="00264A1D" w:rsidP="008E09C8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0F629BC5" w14:textId="77777777" w:rsidR="00264A1D" w:rsidRPr="00264A1D" w:rsidRDefault="00264A1D" w:rsidP="008E09C8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"/>
        </w:rPr>
      </w:pPr>
    </w:p>
    <w:p w14:paraId="7001BB8C" w14:textId="5253F34C" w:rsidR="0016581B" w:rsidRDefault="003A3B68" w:rsidP="008E09C8">
      <w:pPr>
        <w:spacing w:line="276" w:lineRule="auto"/>
        <w:rPr>
          <w:rFonts w:ascii="Cambria Math" w:hAnsi="Cambria Math" w:cs="Arial"/>
          <w:sz w:val="24"/>
          <w:szCs w:val="24"/>
          <w:u w:val="single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lastRenderedPageBreak/>
        <w:t>ՊՄԸ</w:t>
      </w:r>
      <w:r w:rsidR="00FA61EE" w:rsidRPr="00E622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 xml:space="preserve">սեփականության </w:t>
      </w:r>
      <w:r w:rsidRPr="008E09C8">
        <w:rPr>
          <w:rFonts w:ascii="GHEA Grapalat" w:hAnsi="GHEA Grapalat" w:cs="Arial"/>
          <w:sz w:val="24"/>
          <w:szCs w:val="24"/>
          <w:u w:val="single"/>
          <w:lang w:val="hy-AM"/>
        </w:rPr>
        <w:t>նպատակներ</w:t>
      </w:r>
      <w:r w:rsidR="0016581B" w:rsidRPr="00D96D9D">
        <w:rPr>
          <w:rFonts w:ascii="GHEA Grapalat" w:hAnsi="GHEA Grapalat" w:cs="Arial"/>
          <w:sz w:val="24"/>
          <w:szCs w:val="24"/>
          <w:u w:val="single"/>
          <w:lang w:val="hy-AM"/>
        </w:rPr>
        <w:t>ն են</w:t>
      </w:r>
      <w:r w:rsidR="00FA61EE" w:rsidRPr="00E62261">
        <w:rPr>
          <w:rFonts w:ascii="Cambria Math" w:hAnsi="Cambria Math" w:cs="Arial"/>
          <w:sz w:val="24"/>
          <w:szCs w:val="24"/>
          <w:u w:val="single"/>
          <w:lang w:val="hy-AM"/>
        </w:rPr>
        <w:t>․</w:t>
      </w:r>
    </w:p>
    <w:p w14:paraId="45AA3E91" w14:textId="6FE7087D" w:rsidR="00FE33CF" w:rsidRPr="00264A1D" w:rsidRDefault="00FE33CF" w:rsidP="008E09C8">
      <w:p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264A1D">
        <w:rPr>
          <w:rFonts w:ascii="GHEA Grapalat" w:hAnsi="GHEA Grapalat" w:cs="Arial"/>
          <w:i/>
          <w:sz w:val="24"/>
          <w:szCs w:val="24"/>
          <w:lang w:val="hy-AM"/>
        </w:rPr>
        <w:t>Հանրային քաղաքականության նպատակներ</w:t>
      </w:r>
      <w:r w:rsidRPr="00264A1D">
        <w:rPr>
          <w:rFonts w:ascii="GHEA Grapalat" w:hAnsi="GHEA Grapalat" w:cs="Arial"/>
          <w:sz w:val="24"/>
          <w:szCs w:val="24"/>
          <w:lang w:val="hy-AM"/>
        </w:rPr>
        <w:t>՝</w:t>
      </w:r>
    </w:p>
    <w:p w14:paraId="7E2AABA1" w14:textId="77777777" w:rsidR="0016581B" w:rsidRPr="00D96D9D" w:rsidRDefault="003A3B68" w:rsidP="008E09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Աջակցել ազգային անվտանգության նպատակների կամ ազգային շահերի ռազմավարական նպատակների իրագործմանը, որոնք նախանշված են Կառավարության ծրագրով։</w:t>
      </w:r>
    </w:p>
    <w:p w14:paraId="0B8AD60C" w14:textId="77777777" w:rsidR="0016581B" w:rsidRPr="00D96D9D" w:rsidRDefault="003A3B68" w:rsidP="008E09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 w:cs="Arial"/>
          <w:sz w:val="24"/>
          <w:szCs w:val="24"/>
          <w:lang w:val="hy-AM"/>
        </w:rPr>
        <w:t>Պ</w:t>
      </w:r>
      <w:r w:rsidRPr="008E09C8">
        <w:rPr>
          <w:rFonts w:ascii="GHEA Grapalat" w:hAnsi="GHEA Grapalat"/>
          <w:sz w:val="24"/>
          <w:szCs w:val="24"/>
          <w:lang w:val="hy-AM"/>
        </w:rPr>
        <w:t>ահպանել բնական մենաշնորհների արդյունավետ գործունեությունը, երբ շուկայի կարգավորումը համարվում է անիրագործելի կամ անարդյունավետ</w:t>
      </w:r>
      <w:r w:rsidRPr="008E09C8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1B0339CF" w14:textId="501BCAB0" w:rsidR="00FE33CF" w:rsidRDefault="003A3B68" w:rsidP="00FE33C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 w:cs="Arial"/>
          <w:sz w:val="24"/>
          <w:szCs w:val="24"/>
          <w:lang w:val="hy-AM"/>
        </w:rPr>
        <w:t>Ա</w:t>
      </w:r>
      <w:r w:rsidRPr="008E09C8">
        <w:rPr>
          <w:rFonts w:ascii="GHEA Grapalat" w:hAnsi="GHEA Grapalat"/>
          <w:sz w:val="24"/>
          <w:szCs w:val="24"/>
          <w:lang w:val="hy-AM"/>
        </w:rPr>
        <w:t>պահովել կարևոր հանրային ծառայությունների մատուցումը, երբ շուկայի մասնակիցները, հաշվի առնելով իրենց առևտրային շահերը, չեն ստանձնի այդ ծառայությունների մատուցումը։</w:t>
      </w:r>
    </w:p>
    <w:p w14:paraId="7AF3724A" w14:textId="69C0A303" w:rsidR="00FE33CF" w:rsidRPr="00264A1D" w:rsidRDefault="00FE33CF" w:rsidP="00264A1D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4A1D">
        <w:rPr>
          <w:rFonts w:ascii="GHEA Grapalat" w:hAnsi="GHEA Grapalat"/>
          <w:i/>
          <w:sz w:val="24"/>
          <w:szCs w:val="24"/>
          <w:lang w:val="hy-AM"/>
        </w:rPr>
        <w:t>Առևտրային նպատակ</w:t>
      </w:r>
      <w:r w:rsidRPr="00264A1D">
        <w:rPr>
          <w:rFonts w:ascii="GHEA Grapalat" w:hAnsi="GHEA Grapalat"/>
          <w:sz w:val="24"/>
          <w:szCs w:val="24"/>
          <w:lang w:val="hy-AM"/>
        </w:rPr>
        <w:t>՝</w:t>
      </w:r>
    </w:p>
    <w:p w14:paraId="0C033C9F" w14:textId="3085F13B" w:rsidR="003A3B68" w:rsidRPr="00264A1D" w:rsidRDefault="003A3B68" w:rsidP="00264A1D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4A1D">
        <w:rPr>
          <w:rFonts w:ascii="GHEA Grapalat" w:hAnsi="GHEA Grapalat" w:cs="Arial"/>
          <w:sz w:val="24"/>
          <w:szCs w:val="24"/>
          <w:lang w:val="hy-AM"/>
        </w:rPr>
        <w:t>Բ</w:t>
      </w:r>
      <w:r w:rsidR="00FA61EE" w:rsidRPr="00264A1D">
        <w:rPr>
          <w:rFonts w:ascii="GHEA Grapalat" w:hAnsi="GHEA Grapalat"/>
          <w:sz w:val="24"/>
          <w:szCs w:val="24"/>
          <w:lang w:val="hy-AM"/>
        </w:rPr>
        <w:t>ացառապես առևտրային</w:t>
      </w:r>
      <w:r w:rsidR="007B4E93" w:rsidRPr="001C1BB0">
        <w:rPr>
          <w:rFonts w:ascii="GHEA Grapalat" w:hAnsi="GHEA Grapalat"/>
          <w:sz w:val="24"/>
          <w:szCs w:val="24"/>
          <w:lang w:val="hy-AM"/>
        </w:rPr>
        <w:t xml:space="preserve"> </w:t>
      </w:r>
      <w:r w:rsidR="00FE33CF" w:rsidRPr="00264A1D">
        <w:rPr>
          <w:rFonts w:ascii="GHEA Grapalat" w:hAnsi="GHEA Grapalat"/>
          <w:sz w:val="24"/>
          <w:szCs w:val="24"/>
          <w:lang w:val="hy-AM"/>
        </w:rPr>
        <w:t>(շահույթի)</w:t>
      </w:r>
      <w:r w:rsidR="00FA61EE" w:rsidRPr="00264A1D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Pr="00264A1D">
        <w:rPr>
          <w:rFonts w:ascii="GHEA Grapalat" w:hAnsi="GHEA Grapalat"/>
          <w:sz w:val="24"/>
          <w:szCs w:val="24"/>
          <w:lang w:val="hy-AM"/>
        </w:rPr>
        <w:t xml:space="preserve">, ընդ որում, </w:t>
      </w:r>
      <w:r w:rsidRPr="00264A1D">
        <w:rPr>
          <w:rFonts w:ascii="GHEA Grapalat" w:hAnsi="GHEA Grapalat" w:cs="Arial"/>
          <w:sz w:val="24"/>
          <w:szCs w:val="24"/>
          <w:lang w:val="hy-AM"/>
        </w:rPr>
        <w:t>առևտրային նպատակ հետապնդող ընկերությունները պետք է թիրախավորեն արտաքին շուկաները</w:t>
      </w:r>
      <w:r w:rsidR="00FA61EE" w:rsidRPr="00264A1D">
        <w:rPr>
          <w:rFonts w:ascii="GHEA Grapalat" w:hAnsi="GHEA Grapalat" w:cs="Arial"/>
          <w:sz w:val="24"/>
          <w:szCs w:val="24"/>
          <w:lang w:val="hy-AM"/>
        </w:rPr>
        <w:t>,</w:t>
      </w:r>
      <w:r w:rsidRPr="00264A1D">
        <w:rPr>
          <w:rFonts w:ascii="GHEA Grapalat" w:hAnsi="GHEA Grapalat" w:cs="Arial"/>
          <w:sz w:val="24"/>
          <w:szCs w:val="24"/>
          <w:lang w:val="hy-AM"/>
        </w:rPr>
        <w:t xml:space="preserve"> այդ թվում՝ հնարավորինս ձգտելով տնտեսա</w:t>
      </w:r>
      <w:r w:rsidR="00B7181D">
        <w:rPr>
          <w:rFonts w:ascii="GHEA Grapalat" w:hAnsi="GHEA Grapalat" w:cs="Arial"/>
          <w:sz w:val="24"/>
          <w:szCs w:val="24"/>
          <w:lang w:val="hy-AM"/>
        </w:rPr>
        <w:t>պես բարդ ապրանքների արտադրությանը</w:t>
      </w:r>
      <w:r w:rsidR="00A63541">
        <w:rPr>
          <w:rFonts w:ascii="GHEA Grapalat" w:hAnsi="GHEA Grapalat" w:cs="Arial"/>
          <w:sz w:val="24"/>
          <w:szCs w:val="24"/>
          <w:lang w:val="hy-AM"/>
        </w:rPr>
        <w:t xml:space="preserve"> կամ հիմնվելով</w:t>
      </w:r>
      <w:r w:rsidRPr="00264A1D">
        <w:rPr>
          <w:rFonts w:ascii="GHEA Grapalat" w:hAnsi="GHEA Grapalat" w:cs="Arial"/>
          <w:sz w:val="24"/>
          <w:szCs w:val="24"/>
          <w:lang w:val="hy-AM"/>
        </w:rPr>
        <w:t xml:space="preserve"> բացառիկ և սահմանափակ ռեսուրսների վրա:</w:t>
      </w:r>
    </w:p>
    <w:p w14:paraId="2DA272C5" w14:textId="77777777" w:rsidR="003A3B68" w:rsidRPr="008E09C8" w:rsidRDefault="003A3B68" w:rsidP="008E09C8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E6AD6E0" w14:textId="1B93019C" w:rsidR="00F000CA" w:rsidRPr="008E09C8" w:rsidRDefault="00F000CA" w:rsidP="008E09C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 w:cs="Arial"/>
          <w:sz w:val="24"/>
          <w:szCs w:val="24"/>
          <w:lang w:val="hy-AM"/>
        </w:rPr>
        <w:t>ՊՄԸ-ների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նպատակների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D75" w:rsidRPr="00D96D9D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A4D75" w:rsidRPr="00D96D9D">
        <w:rPr>
          <w:rFonts w:ascii="GHEA Grapalat" w:hAnsi="GHEA Grapalat" w:cs="Arial"/>
          <w:sz w:val="24"/>
          <w:szCs w:val="24"/>
          <w:lang w:val="hy-AM"/>
        </w:rPr>
        <w:t>համապատասխանի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u w:val="single"/>
          <w:lang w:val="hy-AM"/>
        </w:rPr>
        <w:t>սկզբունքներին</w:t>
      </w:r>
      <w:r w:rsidRPr="008E09C8">
        <w:rPr>
          <w:rFonts w:ascii="GHEA Grapalat" w:hAnsi="GHEA Grapalat"/>
          <w:sz w:val="24"/>
          <w:szCs w:val="24"/>
          <w:lang w:val="hy-AM"/>
        </w:rPr>
        <w:t>.</w:t>
      </w:r>
    </w:p>
    <w:p w14:paraId="3583A331" w14:textId="3C40C687" w:rsidR="00805732" w:rsidRPr="00805732" w:rsidRDefault="00F000CA" w:rsidP="00805732">
      <w:pPr>
        <w:pStyle w:val="ListParagraph"/>
        <w:numPr>
          <w:ilvl w:val="1"/>
          <w:numId w:val="23"/>
        </w:numPr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805732">
        <w:rPr>
          <w:rFonts w:ascii="GHEA Grapalat" w:hAnsi="GHEA Grapalat" w:cs="Arial"/>
          <w:sz w:val="24"/>
          <w:szCs w:val="24"/>
          <w:lang w:val="hy-AM"/>
        </w:rPr>
        <w:t>Յուրաքանչյուր ՊՄԸ</w:t>
      </w:r>
      <w:r w:rsidR="00BA4D75" w:rsidRPr="00805732">
        <w:rPr>
          <w:rFonts w:ascii="GHEA Grapalat" w:hAnsi="GHEA Grapalat" w:cs="Arial"/>
          <w:sz w:val="24"/>
          <w:szCs w:val="24"/>
          <w:lang w:val="hy-AM"/>
        </w:rPr>
        <w:t>-ի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732">
        <w:rPr>
          <w:rFonts w:ascii="GHEA Grapalat" w:hAnsi="GHEA Grapalat" w:cs="Arial"/>
          <w:sz w:val="24"/>
          <w:szCs w:val="24"/>
          <w:lang w:val="hy-AM"/>
        </w:rPr>
        <w:t>և՛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73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732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05732">
        <w:rPr>
          <w:rFonts w:ascii="GHEA Grapalat" w:hAnsi="GHEA Grapalat" w:cs="Arial"/>
          <w:sz w:val="24"/>
          <w:szCs w:val="24"/>
          <w:lang w:val="hy-AM"/>
        </w:rPr>
        <w:t>և՛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732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732">
        <w:rPr>
          <w:rFonts w:ascii="GHEA Grapalat" w:hAnsi="GHEA Grapalat" w:cs="Arial"/>
          <w:sz w:val="24"/>
          <w:szCs w:val="24"/>
          <w:lang w:val="hy-AM"/>
        </w:rPr>
        <w:t>նպատակները</w:t>
      </w:r>
      <w:r w:rsidR="00BA4D75" w:rsidRPr="00805732">
        <w:rPr>
          <w:rFonts w:ascii="GHEA Grapalat" w:hAnsi="GHEA Grapalat" w:cs="Arial"/>
          <w:sz w:val="24"/>
          <w:szCs w:val="24"/>
          <w:lang w:val="hy-AM"/>
        </w:rPr>
        <w:t>,</w:t>
      </w:r>
      <w:r w:rsidRPr="00805732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BA4D75" w:rsidRPr="00805732">
        <w:rPr>
          <w:rFonts w:ascii="GHEA Grapalat" w:hAnsi="GHEA Grapalat" w:cs="Arial"/>
          <w:sz w:val="24"/>
          <w:szCs w:val="24"/>
          <w:lang w:val="hy-AM"/>
        </w:rPr>
        <w:t>՛</w:t>
      </w:r>
      <w:r w:rsidRPr="00805732">
        <w:rPr>
          <w:rFonts w:ascii="GHEA Grapalat" w:hAnsi="GHEA Grapalat" w:cs="Arial"/>
          <w:sz w:val="24"/>
          <w:szCs w:val="24"/>
          <w:lang w:val="hy-AM"/>
        </w:rPr>
        <w:t xml:space="preserve"> թիրախները պետք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732">
        <w:rPr>
          <w:rFonts w:ascii="GHEA Grapalat" w:hAnsi="GHEA Grapalat" w:cs="Arial"/>
          <w:sz w:val="24"/>
          <w:szCs w:val="24"/>
          <w:lang w:val="hy-AM"/>
        </w:rPr>
        <w:t>է</w:t>
      </w:r>
      <w:r w:rsidRPr="00805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732">
        <w:rPr>
          <w:rFonts w:ascii="GHEA Grapalat" w:hAnsi="GHEA Grapalat" w:cs="Arial"/>
          <w:sz w:val="24"/>
          <w:szCs w:val="24"/>
          <w:lang w:val="hy-AM"/>
        </w:rPr>
        <w:t>լինեն չափելի</w:t>
      </w:r>
      <w:r w:rsidRPr="00805732">
        <w:rPr>
          <w:rFonts w:ascii="GHEA Grapalat" w:hAnsi="GHEA Grapalat"/>
          <w:sz w:val="24"/>
          <w:szCs w:val="24"/>
          <w:lang w:val="hy-AM"/>
        </w:rPr>
        <w:t>:</w:t>
      </w:r>
      <w:r w:rsidR="00805732" w:rsidRPr="0080573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1BDAE9" w14:textId="77777777" w:rsidR="00F000CA" w:rsidRPr="008E09C8" w:rsidRDefault="00F000CA" w:rsidP="008E09C8">
      <w:pPr>
        <w:numPr>
          <w:ilvl w:val="1"/>
          <w:numId w:val="23"/>
        </w:numPr>
        <w:spacing w:line="276" w:lineRule="auto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նպատակները պետք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է իրագործվեն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և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կայուն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եղանակով</w:t>
      </w:r>
      <w:r w:rsidRPr="008E09C8">
        <w:rPr>
          <w:rFonts w:ascii="GHEA Grapalat" w:hAnsi="GHEA Grapalat"/>
          <w:sz w:val="24"/>
          <w:szCs w:val="24"/>
          <w:lang w:val="hy-AM"/>
        </w:rPr>
        <w:t>:</w:t>
      </w:r>
    </w:p>
    <w:p w14:paraId="6FAAD5FC" w14:textId="1B659F65" w:rsidR="00D66A6D" w:rsidRPr="00D96D9D" w:rsidRDefault="00F000CA" w:rsidP="008E09C8">
      <w:pPr>
        <w:pStyle w:val="ListParagraph"/>
        <w:numPr>
          <w:ilvl w:val="1"/>
          <w:numId w:val="23"/>
        </w:numPr>
        <w:spacing w:line="276" w:lineRule="auto"/>
        <w:ind w:left="113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E09C8">
        <w:rPr>
          <w:rFonts w:ascii="GHEA Grapalat" w:hAnsi="GHEA Grapalat" w:cs="Arial"/>
          <w:sz w:val="24"/>
          <w:szCs w:val="24"/>
          <w:lang w:val="hy-AM"/>
        </w:rPr>
        <w:t>ՀՀ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ՊՄԸ-ների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նպատակների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D66A6D" w:rsidRPr="00D96D9D">
        <w:rPr>
          <w:rFonts w:ascii="GHEA Grapalat" w:hAnsi="GHEA Grapalat" w:cs="Arial"/>
          <w:sz w:val="24"/>
          <w:szCs w:val="24"/>
          <w:lang w:val="hy-AM"/>
        </w:rPr>
        <w:t>սահմանի ֆինանսա</w:t>
      </w:r>
      <w:r w:rsidR="00D66A6D" w:rsidRPr="00E62261">
        <w:rPr>
          <w:rFonts w:ascii="GHEA Grapalat" w:hAnsi="GHEA Grapalat" w:cs="Arial"/>
          <w:sz w:val="24"/>
          <w:szCs w:val="24"/>
          <w:lang w:val="hy-AM"/>
        </w:rPr>
        <w:t>կան ցուցանիշներ, որոնք կապահովեն ընկերությունների երկարաժամկետ ֆինանսական կայունությունը, ինչպես նաև</w:t>
      </w:r>
      <w:r w:rsidR="003313AE">
        <w:rPr>
          <w:rFonts w:ascii="GHEA Grapalat" w:hAnsi="GHEA Grapalat" w:cs="Arial"/>
          <w:sz w:val="24"/>
          <w:szCs w:val="24"/>
          <w:lang w:val="hy-AM"/>
        </w:rPr>
        <w:t>՝</w:t>
      </w:r>
      <w:r w:rsidR="00D66A6D" w:rsidRPr="008E09C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6A6D" w:rsidRPr="00D96D9D">
        <w:rPr>
          <w:rFonts w:ascii="GHEA Grapalat" w:hAnsi="GHEA Grapalat" w:cs="Arial"/>
          <w:sz w:val="24"/>
          <w:szCs w:val="24"/>
          <w:lang w:val="hy-AM"/>
        </w:rPr>
        <w:t xml:space="preserve">մասնավոր ընկերությունների համար կիրառելի  </w:t>
      </w:r>
      <w:r w:rsidR="00137BC0">
        <w:rPr>
          <w:rFonts w:ascii="GHEA Grapalat" w:hAnsi="GHEA Grapalat" w:cs="Arial"/>
          <w:sz w:val="24"/>
          <w:szCs w:val="24"/>
          <w:lang w:val="hy-AM"/>
        </w:rPr>
        <w:t>շահութաբերության</w:t>
      </w:r>
      <w:r w:rsidR="00137BC0" w:rsidRPr="00D96D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6A6D" w:rsidRPr="00D96D9D">
        <w:rPr>
          <w:rFonts w:ascii="GHEA Grapalat" w:hAnsi="GHEA Grapalat" w:cs="Arial"/>
          <w:sz w:val="24"/>
          <w:szCs w:val="24"/>
          <w:lang w:val="hy-AM"/>
        </w:rPr>
        <w:t xml:space="preserve">մակարդակ։ </w:t>
      </w:r>
    </w:p>
    <w:p w14:paraId="7B47AD86" w14:textId="6AF44E59" w:rsidR="006C542C" w:rsidRPr="00F11811" w:rsidRDefault="006C542C" w:rsidP="00F1181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>Սեփականության քաղաքականության</w:t>
      </w:r>
      <w:r w:rsidR="00A771D0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առկայությունը</w:t>
      </w: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որպես փաստաթուղթ, թույլ </w:t>
      </w:r>
      <w:r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կտա տնտեսությունում Կառավարության մասնակցությունը դասակա</w:t>
      </w:r>
      <w:r w:rsidR="00104619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րգել ըստ առաջնահերթությունների,</w:t>
      </w:r>
      <w:r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771D0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ներդաշնակեցնել</w:t>
      </w:r>
      <w:r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քաղաքականության նպատակների</w:t>
      </w:r>
      <w:r w:rsidR="003313AE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="00104619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B95A7E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04619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կարևորելով </w:t>
      </w:r>
      <w:r w:rsidR="00B95A7E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հանրային միջոցների </w:t>
      </w:r>
      <w:r w:rsidR="00104619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արդյունավետ </w:t>
      </w:r>
      <w:r w:rsidR="00B95A7E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օգտագործում</w:t>
      </w:r>
      <w:r w:rsidR="00104619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Կառավարությունը</w:t>
      </w:r>
      <w:r w:rsidR="00381E5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81E58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որպես սեփականատեր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կայուն և ինստիտուցիոնալ կերպով 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պետք է 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տեղեկացված և ակտիվորեն ներգրավված 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լինի</w:t>
      </w:r>
      <w:r w:rsidR="00B7181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81E58">
        <w:rPr>
          <w:rFonts w:ascii="GHEA Grapalat" w:hAnsi="GHEA Grapalat" w:cs="Arial"/>
          <w:color w:val="000000"/>
          <w:sz w:val="24"/>
          <w:szCs w:val="24"/>
          <w:lang w:val="hy-AM"/>
        </w:rPr>
        <w:t>ՊՄԸ-ների գործունեության բոլոր փուլերում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Պետք է հնարավորինս խուսափել այնպիսի իրավիճակներից, երբ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այս կամ այն ընկերության 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 xml:space="preserve">պետական լինելը հիմնված է 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միայն 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պատմական փաստերի վրա</w:t>
      </w:r>
      <w:r w:rsidR="00E0167A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ուստի</w:t>
      </w:r>
      <w:r w:rsidR="00513BBC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կարող է չբխել Կառավարության երկարաժամկետ քաղաքականությունից։</w:t>
      </w:r>
      <w:r w:rsid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Պետք է ապահովվի </w:t>
      </w:r>
      <w:r w:rsidR="00F1181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Պետական սեփականությ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ա</w:t>
      </w:r>
      <w:r w:rsidR="00F1181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 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քաղաքականությունից բխող </w:t>
      </w:r>
      <w:r w:rsidR="00C2135B">
        <w:rPr>
          <w:rFonts w:ascii="GHEA Grapalat" w:hAnsi="GHEA Grapalat" w:cs="Arial"/>
          <w:color w:val="000000"/>
          <w:sz w:val="24"/>
          <w:szCs w:val="24"/>
          <w:lang w:val="hy-AM"/>
        </w:rPr>
        <w:t>մոտեցումնեի</w:t>
      </w:r>
      <w:r w:rsidR="00F1181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համասեռ</w:t>
      </w:r>
      <w:r w:rsidR="005453C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ությունը</w:t>
      </w:r>
      <w:r w:rsidR="00381E5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 հետևողականությունը</w:t>
      </w:r>
      <w:r w:rsidR="00F11811" w:rsidRPr="00C2135B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2DD3FF61" w14:textId="77777777" w:rsidR="00F11811" w:rsidRDefault="00F11811" w:rsidP="00F11811">
      <w:pPr>
        <w:spacing w:after="160" w:line="259" w:lineRule="auto"/>
        <w:rPr>
          <w:rStyle w:val="CommentReference"/>
          <w:rFonts w:ascii="Sylfaen" w:eastAsiaTheme="minorHAnsi" w:hAnsi="Sylfaen" w:cstheme="minorBidi"/>
          <w:lang w:val="hy-AM"/>
        </w:rPr>
      </w:pPr>
    </w:p>
    <w:p w14:paraId="24FF137E" w14:textId="6C7DB6A0" w:rsidR="003C53B3" w:rsidRPr="00E62261" w:rsidRDefault="00F11811" w:rsidP="00F11811">
      <w:pPr>
        <w:spacing w:after="160" w:line="259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1811">
        <w:rPr>
          <w:rFonts w:ascii="GHEA Grapalat" w:hAnsi="GHEA Grapalat"/>
          <w:b/>
          <w:sz w:val="24"/>
          <w:szCs w:val="24"/>
          <w:lang w:val="hy-AM"/>
        </w:rPr>
        <w:t>Պ</w:t>
      </w:r>
      <w:r w:rsidR="003C53B3" w:rsidRPr="00E62261">
        <w:rPr>
          <w:rFonts w:ascii="GHEA Grapalat" w:hAnsi="GHEA Grapalat"/>
          <w:b/>
          <w:sz w:val="24"/>
          <w:szCs w:val="24"/>
          <w:lang w:val="hy-AM"/>
        </w:rPr>
        <w:t>ետական սեփականության հիմնավորումը և դրա բաղադրիչները</w:t>
      </w:r>
    </w:p>
    <w:p w14:paraId="689BA130" w14:textId="678947E9" w:rsidR="003C53B3" w:rsidRPr="00E62261" w:rsidRDefault="004E38BA" w:rsidP="008E09C8">
      <w:pPr>
        <w:pStyle w:val="ListParagraph"/>
        <w:spacing w:after="0" w:line="276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16DC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A686EDC" wp14:editId="499F10DA">
            <wp:simplePos x="0" y="0"/>
            <wp:positionH relativeFrom="column">
              <wp:posOffset>347345</wp:posOffset>
            </wp:positionH>
            <wp:positionV relativeFrom="paragraph">
              <wp:posOffset>367665</wp:posOffset>
            </wp:positionV>
            <wp:extent cx="5677535" cy="3888105"/>
            <wp:effectExtent l="0" t="0" r="0" b="0"/>
            <wp:wrapTopAndBottom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B3" w:rsidRPr="00D96D9D">
        <w:rPr>
          <w:rFonts w:ascii="GHEA Grapalat" w:eastAsia="Tahoma" w:hAnsi="GHEA Grapalat" w:cs="Tahoma"/>
          <w:b/>
          <w:sz w:val="24"/>
          <w:szCs w:val="24"/>
          <w:lang w:val="hy-AM"/>
        </w:rPr>
        <w:t>Գծապատկեր</w:t>
      </w:r>
      <w:r w:rsidR="003C53B3" w:rsidRPr="00E62261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D96D9D" w:rsidRPr="008E09C8">
        <w:rPr>
          <w:rFonts w:ascii="GHEA Grapalat" w:eastAsia="Tahoma" w:hAnsi="GHEA Grapalat" w:cs="Tahoma"/>
          <w:b/>
          <w:sz w:val="24"/>
          <w:szCs w:val="24"/>
          <w:lang w:val="hy-AM"/>
        </w:rPr>
        <w:t>3</w:t>
      </w:r>
      <w:r w:rsidR="003C53B3" w:rsidRPr="00D96D9D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15D804DF" w14:textId="4DDEE9FF" w:rsidR="00D96D9D" w:rsidRDefault="00D96D9D" w:rsidP="008E09C8">
      <w:pPr>
        <w:autoSpaceDE w:val="0"/>
        <w:autoSpaceDN w:val="0"/>
        <w:adjustRightInd w:val="0"/>
        <w:spacing w:after="0" w:line="276" w:lineRule="auto"/>
        <w:rPr>
          <w:rFonts w:ascii="GHEA Grapalat" w:hAnsi="GHEA Grapalat" w:cs="Arial"/>
          <w:b/>
          <w:color w:val="215E99" w:themeColor="text2" w:themeTint="BF"/>
          <w:sz w:val="24"/>
          <w:szCs w:val="24"/>
          <w:lang w:val="hy-AM"/>
        </w:rPr>
      </w:pPr>
    </w:p>
    <w:p w14:paraId="0E199047" w14:textId="726B6DA7" w:rsidR="006118B5" w:rsidRDefault="006118B5" w:rsidP="005D651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lang w:val="hy-AM"/>
        </w:rPr>
      </w:pPr>
      <w:r w:rsidRPr="005D6510">
        <w:rPr>
          <w:rFonts w:ascii="GHEA Grapalat" w:hAnsi="GHEA Grapalat"/>
          <w:lang w:val="hy-AM"/>
        </w:rPr>
        <w:t>Այն դեպքերում, երբ առևտային կազմակերպություն</w:t>
      </w:r>
      <w:r w:rsidR="001703E3">
        <w:rPr>
          <w:rFonts w:ascii="GHEA Grapalat" w:hAnsi="GHEA Grapalat"/>
          <w:lang w:val="hy-AM"/>
        </w:rPr>
        <w:t>-</w:t>
      </w:r>
      <w:r w:rsidRPr="005D6510">
        <w:rPr>
          <w:rFonts w:ascii="GHEA Grapalat" w:hAnsi="GHEA Grapalat"/>
          <w:lang w:val="hy-AM"/>
        </w:rPr>
        <w:t>ներում</w:t>
      </w:r>
      <w:r w:rsidRPr="005D6510">
        <w:rPr>
          <w:rFonts w:ascii="Calibri" w:hAnsi="Calibri" w:cs="Calibri"/>
          <w:lang w:val="hy-AM"/>
        </w:rPr>
        <w:t> </w:t>
      </w:r>
      <w:r w:rsidRPr="005D6510">
        <w:rPr>
          <w:rFonts w:ascii="GHEA Grapalat" w:hAnsi="GHEA Grapalat"/>
          <w:lang w:val="hy-AM"/>
        </w:rPr>
        <w:t>մինորիտար</w:t>
      </w:r>
      <w:r w:rsidRPr="005D6510">
        <w:rPr>
          <w:rFonts w:ascii="Calibri" w:hAnsi="Calibri" w:cs="Calibri"/>
          <w:lang w:val="hy-AM"/>
        </w:rPr>
        <w:t> </w:t>
      </w:r>
      <w:r w:rsidRPr="005D6510">
        <w:rPr>
          <w:rFonts w:ascii="GHEA Grapalat" w:hAnsi="GHEA Grapalat"/>
          <w:lang w:val="hy-AM"/>
        </w:rPr>
        <w:t>բաժնեմասերի սեփականությունը չհամընկն</w:t>
      </w:r>
      <w:r>
        <w:rPr>
          <w:rFonts w:ascii="GHEA Grapalat" w:hAnsi="GHEA Grapalat"/>
          <w:lang w:val="hy-AM"/>
        </w:rPr>
        <w:t xml:space="preserve">ի </w:t>
      </w:r>
      <w:r w:rsidRPr="005D6510">
        <w:rPr>
          <w:rFonts w:ascii="GHEA Grapalat" w:hAnsi="GHEA Grapalat"/>
          <w:lang w:val="hy-AM"/>
        </w:rPr>
        <w:t>պետական սեփականության քաղաքականությանը</w:t>
      </w:r>
      <w:r>
        <w:rPr>
          <w:rFonts w:ascii="GHEA Grapalat" w:hAnsi="GHEA Grapalat"/>
          <w:lang w:val="hy-AM"/>
        </w:rPr>
        <w:t>,</w:t>
      </w:r>
      <w:r w:rsidRPr="005D6510">
        <w:rPr>
          <w:rFonts w:ascii="GHEA Grapalat" w:hAnsi="GHEA Grapalat"/>
          <w:lang w:val="hy-AM"/>
        </w:rPr>
        <w:t xml:space="preserve"> պետությունը կզիջի կամ կօտարի</w:t>
      </w:r>
      <w:r w:rsidRPr="005D6510">
        <w:rPr>
          <w:rFonts w:ascii="Calibri" w:hAnsi="Calibri" w:cs="Calibri"/>
          <w:lang w:val="hy-AM"/>
        </w:rPr>
        <w:t> </w:t>
      </w:r>
      <w:r w:rsidRPr="005D6510">
        <w:rPr>
          <w:rFonts w:ascii="GHEA Grapalat" w:hAnsi="GHEA Grapalat"/>
          <w:lang w:val="hy-AM"/>
        </w:rPr>
        <w:t>դրանք</w:t>
      </w:r>
      <w:r w:rsidRPr="005D6510">
        <w:rPr>
          <w:rFonts w:ascii="Calibri" w:hAnsi="Calibri" w:cs="Calibri"/>
          <w:lang w:val="hy-AM"/>
        </w:rPr>
        <w:t> </w:t>
      </w:r>
      <w:r w:rsidRPr="005D6510">
        <w:rPr>
          <w:rFonts w:ascii="GHEA Grapalat" w:hAnsi="GHEA Grapalat"/>
          <w:lang w:val="hy-AM"/>
        </w:rPr>
        <w:t>և</w:t>
      </w:r>
      <w:r w:rsidRPr="005D6510">
        <w:rPr>
          <w:rFonts w:ascii="Calibri" w:hAnsi="Calibri" w:cs="Calibri"/>
          <w:lang w:val="hy-AM"/>
        </w:rPr>
        <w:t> </w:t>
      </w:r>
      <w:r w:rsidRPr="005D6510">
        <w:rPr>
          <w:rFonts w:ascii="GHEA Grapalat" w:hAnsi="GHEA Grapalat"/>
          <w:lang w:val="hy-AM"/>
        </w:rPr>
        <w:t>նման</w:t>
      </w:r>
      <w:r>
        <w:rPr>
          <w:rFonts w:ascii="GHEA Grapalat" w:hAnsi="GHEA Grapalat"/>
          <w:lang w:val="hy-AM"/>
        </w:rPr>
        <w:t xml:space="preserve"> </w:t>
      </w:r>
      <w:r w:rsidRPr="005D6510">
        <w:rPr>
          <w:rFonts w:ascii="GHEA Grapalat" w:hAnsi="GHEA Grapalat"/>
          <w:lang w:val="hy-AM"/>
        </w:rPr>
        <w:t>դեպքերում</w:t>
      </w:r>
      <w:r w:rsidRPr="005D6510">
        <w:rPr>
          <w:rFonts w:ascii="Calibri" w:hAnsi="Calibri" w:cs="Calibri"/>
          <w:lang w:val="hy-AM"/>
        </w:rPr>
        <w:t> </w:t>
      </w:r>
      <w:r w:rsidRPr="005D6510">
        <w:rPr>
          <w:rFonts w:ascii="GHEA Grapalat" w:hAnsi="GHEA Grapalat"/>
          <w:lang w:val="hy-AM"/>
        </w:rPr>
        <w:t xml:space="preserve">ձեռք չի բերի և/կամ չի դառնա </w:t>
      </w:r>
      <w:bookmarkStart w:id="0" w:name="_GoBack"/>
      <w:r w:rsidRPr="005D6510">
        <w:rPr>
          <w:rFonts w:ascii="GHEA Grapalat" w:hAnsi="GHEA Grapalat"/>
          <w:lang w:val="hy-AM"/>
        </w:rPr>
        <w:t>առևտրային կազմակերպություններում մինորիտար բաժնեմասերի</w:t>
      </w:r>
      <w:bookmarkEnd w:id="0"/>
      <w:r w:rsidRPr="005D6510">
        <w:rPr>
          <w:rFonts w:ascii="GHEA Grapalat" w:hAnsi="GHEA Grapalat"/>
          <w:lang w:val="hy-AM"/>
        </w:rPr>
        <w:t xml:space="preserve"> սեփականատեր:</w:t>
      </w:r>
    </w:p>
    <w:p w14:paraId="66D3613B" w14:textId="3E4DE62C" w:rsidR="006118B5" w:rsidRDefault="006118B5" w:rsidP="005D651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lang w:val="hy-AM"/>
        </w:rPr>
      </w:pPr>
      <w:r w:rsidRPr="005D6510">
        <w:rPr>
          <w:rFonts w:ascii="GHEA Grapalat" w:hAnsi="GHEA Grapalat"/>
          <w:lang w:val="hy-AM"/>
        </w:rPr>
        <w:t xml:space="preserve">Եթե Կառավարությունը դառնա մասնավոր ընկերություններում բաժնետոմսերի սեփականատեր, որոնք </w:t>
      </w:r>
      <w:r w:rsidR="0064361A">
        <w:rPr>
          <w:rFonts w:ascii="GHEA Grapalat" w:hAnsi="GHEA Grapalat"/>
          <w:lang w:val="hy-AM"/>
        </w:rPr>
        <w:t>ձեռք</w:t>
      </w:r>
      <w:r w:rsidRPr="005D6510">
        <w:rPr>
          <w:rFonts w:ascii="GHEA Grapalat" w:hAnsi="GHEA Grapalat"/>
          <w:lang w:val="hy-AM"/>
        </w:rPr>
        <w:t xml:space="preserve"> են</w:t>
      </w:r>
      <w:r w:rsidR="0064361A">
        <w:rPr>
          <w:rFonts w:ascii="GHEA Grapalat" w:hAnsi="GHEA Grapalat"/>
          <w:lang w:val="hy-AM"/>
        </w:rPr>
        <w:t xml:space="preserve"> բերվել</w:t>
      </w:r>
      <w:r w:rsidRPr="005D6510">
        <w:rPr>
          <w:rFonts w:ascii="GHEA Grapalat" w:hAnsi="GHEA Grapalat"/>
          <w:lang w:val="hy-AM"/>
        </w:rPr>
        <w:t xml:space="preserve"> հակակոռուպցիոն գործողությունների պատշաճ գործընթացի ապահովման կամ ազգային ակտիվների վերականգնման համանման գործողությունների արդյունքում, նման սեփականությունը կդիտարկվի որպես ժամանակավոր սեփականություն:</w:t>
      </w:r>
    </w:p>
    <w:p w14:paraId="741338A7" w14:textId="26488C31" w:rsidR="006118B5" w:rsidRPr="005D6510" w:rsidRDefault="006118B5" w:rsidP="005D651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lang w:val="hy-AM"/>
        </w:rPr>
      </w:pPr>
      <w:r w:rsidRPr="005D6510">
        <w:rPr>
          <w:rFonts w:ascii="GHEA Grapalat" w:hAnsi="GHEA Grapalat"/>
          <w:lang w:val="hy-AM"/>
        </w:rPr>
        <w:t xml:space="preserve">Պետությունը արդար և մրցակցային ընթացակարգի միջոցով կվարձի հեղինակավոր ակտիվների կառավարչի՝ պետության անունից նման բաժնետոմսերը 5 տարվա ընթացքում </w:t>
      </w:r>
      <w:r w:rsidRPr="005D6510">
        <w:rPr>
          <w:rFonts w:ascii="GHEA Grapalat" w:hAnsi="GHEA Grapalat"/>
          <w:lang w:val="hy-AM"/>
        </w:rPr>
        <w:lastRenderedPageBreak/>
        <w:t xml:space="preserve">ժամանակավորապես կառավարելու և </w:t>
      </w:r>
      <w:r w:rsidR="00BF4BCA" w:rsidRPr="00B03EF5">
        <w:rPr>
          <w:rFonts w:ascii="GHEA Grapalat" w:hAnsi="GHEA Grapalat"/>
          <w:lang w:val="hy-AM"/>
        </w:rPr>
        <w:t xml:space="preserve">5 տարվա ընթացքում </w:t>
      </w:r>
      <w:r w:rsidRPr="005D6510">
        <w:rPr>
          <w:rFonts w:ascii="GHEA Grapalat" w:hAnsi="GHEA Grapalat"/>
          <w:lang w:val="hy-AM"/>
        </w:rPr>
        <w:t>Կառավարության համար առավել բարենպաստ պայմաններով ելք ապահովելու համար:</w:t>
      </w:r>
    </w:p>
    <w:p w14:paraId="20716504" w14:textId="77777777" w:rsidR="006118B5" w:rsidRPr="005D6510" w:rsidRDefault="006118B5" w:rsidP="006118B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  <w:lang w:val="hy-AM"/>
        </w:rPr>
      </w:pPr>
      <w:r w:rsidRPr="005D6510">
        <w:rPr>
          <w:rFonts w:ascii="Calibri" w:hAnsi="Calibri" w:cs="Calibri"/>
          <w:color w:val="2C363A"/>
          <w:sz w:val="22"/>
          <w:szCs w:val="22"/>
          <w:lang w:val="hy-AM"/>
        </w:rPr>
        <w:t> </w:t>
      </w:r>
    </w:p>
    <w:p w14:paraId="57486F26" w14:textId="77777777" w:rsidR="00D96D9D" w:rsidRDefault="00D96D9D" w:rsidP="008E09C8">
      <w:pPr>
        <w:autoSpaceDE w:val="0"/>
        <w:autoSpaceDN w:val="0"/>
        <w:adjustRightInd w:val="0"/>
        <w:spacing w:after="0" w:line="276" w:lineRule="auto"/>
        <w:rPr>
          <w:rFonts w:ascii="GHEA Grapalat" w:hAnsi="GHEA Grapalat" w:cs="Arial"/>
          <w:b/>
          <w:color w:val="215E99" w:themeColor="text2" w:themeTint="BF"/>
          <w:sz w:val="24"/>
          <w:szCs w:val="24"/>
          <w:lang w:val="hy-AM"/>
        </w:rPr>
      </w:pPr>
    </w:p>
    <w:p w14:paraId="4915364C" w14:textId="5436D9A5" w:rsidR="0094221C" w:rsidRPr="00D96D9D" w:rsidRDefault="00A771D0" w:rsidP="008E09C8">
      <w:pPr>
        <w:autoSpaceDE w:val="0"/>
        <w:autoSpaceDN w:val="0"/>
        <w:adjustRightInd w:val="0"/>
        <w:spacing w:after="0" w:line="276" w:lineRule="auto"/>
        <w:rPr>
          <w:rFonts w:ascii="GHEA Grapalat" w:hAnsi="GHEA Grapalat" w:cs="Arial"/>
          <w:b/>
          <w:color w:val="215E99" w:themeColor="text2" w:themeTint="BF"/>
          <w:sz w:val="24"/>
          <w:szCs w:val="24"/>
          <w:lang w:val="hy-AM"/>
        </w:rPr>
      </w:pPr>
      <w:r w:rsidRPr="008E09C8">
        <w:rPr>
          <w:rFonts w:ascii="GHEA Grapalat" w:hAnsi="GHEA Grapalat" w:cs="Arial"/>
          <w:b/>
          <w:color w:val="215E99" w:themeColor="text2" w:themeTint="BF"/>
          <w:sz w:val="24"/>
          <w:szCs w:val="24"/>
          <w:lang w:val="hy-AM"/>
        </w:rPr>
        <w:t>Սեփականության քաղաքականության մոտեցումները</w:t>
      </w:r>
    </w:p>
    <w:p w14:paraId="7504585E" w14:textId="01A6DD73" w:rsidR="0094221C" w:rsidRPr="008E09C8" w:rsidRDefault="0094221C" w:rsidP="008E09C8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"/>
          <w:b/>
          <w:i/>
          <w:color w:val="000000"/>
          <w:sz w:val="24"/>
          <w:szCs w:val="24"/>
          <w:lang w:val="hy-AM"/>
        </w:rPr>
      </w:pPr>
      <w:r w:rsidRPr="008E09C8">
        <w:rPr>
          <w:rFonts w:ascii="GHEA Grapalat" w:hAnsi="GHEA Grapalat" w:cs="Arial"/>
          <w:b/>
          <w:i/>
          <w:color w:val="000000"/>
          <w:sz w:val="24"/>
          <w:szCs w:val="24"/>
          <w:lang w:val="hy-AM"/>
        </w:rPr>
        <w:t>Նպատակայնության գնահատումն ու կատարողական ցուցանիշների սահմանումը</w:t>
      </w:r>
    </w:p>
    <w:p w14:paraId="597A1358" w14:textId="70AC7354" w:rsidR="00641106" w:rsidRPr="00E62261" w:rsidRDefault="00E0167A" w:rsidP="008E09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Կազմակերպաիրավական տարբեր ձևերի կիրառության անորոշությունից խուսափելու նպատակով (ներկայիս դրությամբ ՊՈԱԿ, պետական փակ բաժնետիրական ընկերություն (ՊՓԲԸ), համայնքային փակ բաժնետիրական ընկերություն (ՀՓԲԸ), Հիմնարկ և Հիմնադրամ) առաջարկվում է այս կամ այն կազմակերպաիրավական ձևի ընտրության նպատակահարմարության որոշումը </w:t>
      </w:r>
      <w:r w:rsidR="007070E9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>կայացնել</w:t>
      </w:r>
      <w:r w:rsidR="009561C6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ելնելով տվյալ </w:t>
      </w:r>
      <w:r w:rsidR="00CD46AE">
        <w:rPr>
          <w:rFonts w:ascii="GHEA Grapalat" w:hAnsi="GHEA Grapalat" w:cs="Arial"/>
          <w:color w:val="000000"/>
          <w:sz w:val="24"/>
          <w:szCs w:val="24"/>
          <w:lang w:val="hy-AM"/>
        </w:rPr>
        <w:t>ընկերության</w:t>
      </w:r>
      <w:r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նպատակից և բիզնես մոդելից։ </w:t>
      </w:r>
      <w:r w:rsidR="009561C6">
        <w:rPr>
          <w:rFonts w:ascii="GHEA Grapalat" w:hAnsi="GHEA Grapalat" w:cs="Arial"/>
          <w:color w:val="000000"/>
          <w:sz w:val="24"/>
          <w:szCs w:val="24"/>
          <w:lang w:val="hy-AM"/>
        </w:rPr>
        <w:t>Օրինակ,</w:t>
      </w:r>
      <w:r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</w:t>
      </w:r>
      <w:r w:rsidR="00641106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>յն դեպքերում</w:t>
      </w:r>
      <w:r w:rsidR="00A771D0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641106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771D0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երբ </w:t>
      </w:r>
      <w:r w:rsidR="00641106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>ընկերություն</w:t>
      </w:r>
      <w:r w:rsidR="006C542C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="00641106" w:rsidRPr="009561C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ունի հստակ հանրային քաղաքականությունից</w:t>
      </w:r>
      <w:r w:rsidR="00641106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բխող նպատակ, սակայն ֆինանսապես կենսունակ չէ</w:t>
      </w:r>
      <w:r w:rsidR="003313AE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641106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1054E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>առաջարկվում է դիտարկել</w:t>
      </w:r>
      <w:r w:rsidR="00641106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այն </w:t>
      </w:r>
      <w:r w:rsidR="00F11811" w:rsidRPr="00F11811">
        <w:rPr>
          <w:rFonts w:ascii="GHEA Grapalat" w:hAnsi="GHEA Grapalat" w:cs="GHEA Grapalat"/>
          <w:color w:val="000000"/>
          <w:sz w:val="24"/>
          <w:szCs w:val="24"/>
          <w:lang w:val="hy-AM"/>
        </w:rPr>
        <w:t>պետական</w:t>
      </w:r>
      <w:r w:rsidR="00F11811" w:rsidRPr="00F1181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11811" w:rsidRPr="00F11811">
        <w:rPr>
          <w:rFonts w:ascii="GHEA Grapalat" w:hAnsi="GHEA Grapalat" w:cs="GHEA Grapalat"/>
          <w:color w:val="000000"/>
          <w:sz w:val="24"/>
          <w:szCs w:val="24"/>
          <w:lang w:val="hy-AM"/>
        </w:rPr>
        <w:t>ոչ</w:t>
      </w:r>
      <w:r w:rsidR="00F11811" w:rsidRPr="00F1181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11811" w:rsidRPr="00F11811">
        <w:rPr>
          <w:rFonts w:ascii="GHEA Grapalat" w:hAnsi="GHEA Grapalat" w:cs="GHEA Grapalat"/>
          <w:color w:val="000000"/>
          <w:sz w:val="24"/>
          <w:szCs w:val="24"/>
          <w:lang w:val="hy-AM"/>
        </w:rPr>
        <w:t>առևտրային</w:t>
      </w:r>
      <w:r w:rsidR="00F11811" w:rsidRPr="00F1181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11811" w:rsidRPr="00F11811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կազմակերպություն</w:t>
      </w:r>
      <w:r w:rsidR="00F11811" w:rsidRPr="00F1181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F11811" w:rsidRPr="00F11811">
        <w:rPr>
          <w:rFonts w:ascii="GHEA Grapalat" w:hAnsi="GHEA Grapalat" w:cs="GHEA Grapalat"/>
          <w:color w:val="000000"/>
          <w:sz w:val="24"/>
          <w:szCs w:val="24"/>
          <w:lang w:val="hy-AM"/>
        </w:rPr>
        <w:t>այսուհետ՝</w:t>
      </w:r>
      <w:r w:rsidR="00F11811" w:rsidRPr="00F1181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11811" w:rsidRPr="00F11811">
        <w:rPr>
          <w:rFonts w:ascii="GHEA Grapalat" w:hAnsi="GHEA Grapalat" w:cs="GHEA Grapalat"/>
          <w:color w:val="000000"/>
          <w:sz w:val="24"/>
          <w:szCs w:val="24"/>
          <w:lang w:val="hy-AM"/>
        </w:rPr>
        <w:t>ՊՈԱԿ</w:t>
      </w:r>
      <w:r w:rsidR="00F11811" w:rsidRPr="00F11811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="00F1181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771D0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>կամ Հ</w:t>
      </w:r>
      <w:r w:rsidR="00641106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իմնադրամ վերաձևակերպելու </w:t>
      </w:r>
      <w:r w:rsidR="00A771D0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>հնարավորությունը</w:t>
      </w:r>
      <w:r w:rsidR="00641106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F1181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225C118D" w14:textId="2DDBF5D1" w:rsidR="00547C66" w:rsidRPr="00E62261" w:rsidRDefault="00547C66" w:rsidP="008E09C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t>Գոյություն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810CA0" w:rsidRPr="00E62261">
        <w:rPr>
          <w:rFonts w:ascii="GHEA Grapalat" w:hAnsi="GHEA Grapalat" w:cs="Arial"/>
          <w:sz w:val="24"/>
          <w:szCs w:val="24"/>
          <w:lang w:val="hy-AM"/>
        </w:rPr>
        <w:t>ՊՄԸ-ները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1D0" w:rsidRPr="00E62261">
        <w:rPr>
          <w:rFonts w:ascii="GHEA Grapalat" w:hAnsi="GHEA Grapalat"/>
          <w:sz w:val="24"/>
          <w:szCs w:val="24"/>
          <w:lang w:val="hy-AM"/>
        </w:rPr>
        <w:t>պետք է դասակարգվեն ըստ տեսակների</w:t>
      </w:r>
      <w:r w:rsidR="006C542C" w:rsidRPr="00E62261">
        <w:rPr>
          <w:rFonts w:ascii="GHEA Grapalat" w:hAnsi="GHEA Grapalat"/>
          <w:sz w:val="24"/>
          <w:szCs w:val="24"/>
          <w:lang w:val="hy-AM"/>
        </w:rPr>
        <w:t>,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առանցքային ՊՄԸ-ների համար </w:t>
      </w:r>
      <w:r w:rsidR="00A771D0" w:rsidRPr="00E62261">
        <w:rPr>
          <w:rFonts w:ascii="GHEA Grapalat" w:hAnsi="GHEA Grapalat"/>
          <w:sz w:val="24"/>
          <w:szCs w:val="24"/>
          <w:lang w:val="hy-AM"/>
        </w:rPr>
        <w:t>սահմանվեն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1D0" w:rsidRPr="00E62261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Pr="00E62261">
        <w:rPr>
          <w:rFonts w:ascii="GHEA Grapalat" w:hAnsi="GHEA Grapalat"/>
          <w:sz w:val="24"/>
          <w:szCs w:val="24"/>
          <w:lang w:val="hy-AM"/>
        </w:rPr>
        <w:t>նպատակներ (statement of intent)</w:t>
      </w:r>
      <w:r w:rsidR="003313AE">
        <w:rPr>
          <w:rFonts w:ascii="GHEA Grapalat" w:hAnsi="GHEA Grapalat"/>
          <w:sz w:val="24"/>
          <w:szCs w:val="24"/>
          <w:lang w:val="hy-AM"/>
        </w:rPr>
        <w:t>,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771D0" w:rsidRPr="00E62261">
        <w:rPr>
          <w:rFonts w:ascii="GHEA Grapalat" w:hAnsi="GHEA Grapalat"/>
          <w:sz w:val="24"/>
          <w:szCs w:val="24"/>
          <w:lang w:val="hy-AM"/>
        </w:rPr>
        <w:t xml:space="preserve">ընկերությունների ռազմավարություններում ներդրվեն </w:t>
      </w:r>
      <w:r w:rsidRPr="00E62261">
        <w:rPr>
          <w:rFonts w:ascii="GHEA Grapalat" w:hAnsi="GHEA Grapalat"/>
          <w:sz w:val="24"/>
          <w:szCs w:val="24"/>
          <w:lang w:val="hy-AM"/>
        </w:rPr>
        <w:t>դրանց իրագործ</w:t>
      </w:r>
      <w:r w:rsidR="003313AE">
        <w:rPr>
          <w:rFonts w:ascii="GHEA Grapalat" w:hAnsi="GHEA Grapalat"/>
          <w:sz w:val="24"/>
          <w:szCs w:val="24"/>
          <w:lang w:val="hy-AM"/>
        </w:rPr>
        <w:t>ման մեխանիզմներ</w:t>
      </w:r>
      <w:r w:rsidR="00A771D0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/>
          <w:sz w:val="24"/>
          <w:szCs w:val="24"/>
          <w:lang w:val="hy-AM"/>
        </w:rPr>
        <w:t>(երկարաժամկետ ռազմավարության մեջ արտացոլում,</w:t>
      </w:r>
      <w:r w:rsidR="00D253DE" w:rsidRPr="00E62261">
        <w:rPr>
          <w:rFonts w:ascii="GHEA Grapalat" w:hAnsi="GHEA Grapalat"/>
          <w:sz w:val="24"/>
          <w:szCs w:val="24"/>
          <w:lang w:val="hy-AM"/>
        </w:rPr>
        <w:t xml:space="preserve"> հիմնական կատարողական ցուցանիշներ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3DE" w:rsidRPr="00E62261">
        <w:rPr>
          <w:rFonts w:ascii="GHEA Grapalat" w:hAnsi="GHEA Grapalat"/>
          <w:sz w:val="24"/>
          <w:szCs w:val="24"/>
          <w:lang w:val="hy-AM"/>
        </w:rPr>
        <w:t>(</w:t>
      </w:r>
      <w:r w:rsidRPr="008E09C8">
        <w:rPr>
          <w:rFonts w:ascii="GHEA Grapalat" w:hAnsi="GHEA Grapalat"/>
          <w:sz w:val="24"/>
          <w:szCs w:val="24"/>
          <w:lang w:val="hy-AM"/>
        </w:rPr>
        <w:t>KPI</w:t>
      </w:r>
      <w:r w:rsidR="00D253DE" w:rsidRPr="00D96D9D">
        <w:rPr>
          <w:rFonts w:ascii="GHEA Grapalat" w:hAnsi="GHEA Grapalat"/>
          <w:sz w:val="24"/>
          <w:szCs w:val="24"/>
          <w:lang w:val="hy-AM"/>
        </w:rPr>
        <w:t>)</w:t>
      </w:r>
      <w:r w:rsidRPr="00E62261">
        <w:rPr>
          <w:rFonts w:ascii="GHEA Grapalat" w:hAnsi="GHEA Grapalat"/>
          <w:sz w:val="24"/>
          <w:szCs w:val="24"/>
          <w:lang w:val="hy-AM"/>
        </w:rPr>
        <w:t>, վարձատրության կապ KPI-ների հետ, կորպորատիվ կառավարում և այլն):</w:t>
      </w:r>
    </w:p>
    <w:p w14:paraId="411A20F2" w14:textId="62D0F22B" w:rsidR="00547C66" w:rsidRPr="00E62261" w:rsidRDefault="00547C66" w:rsidP="008E09C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/>
          <w:sz w:val="24"/>
          <w:szCs w:val="24"/>
          <w:lang w:val="hy-AM"/>
        </w:rPr>
        <w:t xml:space="preserve">ՊՄԸ-ները տարեկան կտրվածքով պետք է հաշվետու լինեն </w:t>
      </w:r>
      <w:r w:rsidR="0094221C" w:rsidRPr="00E62261">
        <w:rPr>
          <w:rFonts w:ascii="GHEA Grapalat" w:hAnsi="GHEA Grapalat"/>
          <w:sz w:val="24"/>
          <w:szCs w:val="24"/>
          <w:lang w:val="hy-AM"/>
        </w:rPr>
        <w:t xml:space="preserve">Բաժնետերերի ընդհանուր ժողովին՝ 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իրենց հանրային քաղաքականության նպատակների և/կամ առևտրային նպատակների </w:t>
      </w:r>
      <w:r w:rsidR="0094221C" w:rsidRPr="00E62261">
        <w:rPr>
          <w:rFonts w:ascii="GHEA Grapalat" w:hAnsi="GHEA Grapalat"/>
          <w:sz w:val="24"/>
          <w:szCs w:val="24"/>
          <w:lang w:val="hy-AM"/>
        </w:rPr>
        <w:t>կատարողական ցուցանիշների մասով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600D220" w14:textId="77777777" w:rsidR="00DE3AF9" w:rsidRDefault="00547C66" w:rsidP="00DE3AF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/>
          <w:sz w:val="24"/>
          <w:szCs w:val="24"/>
          <w:lang w:val="hy-AM"/>
        </w:rPr>
        <w:t xml:space="preserve">Հաշվետվության հիման վրա </w:t>
      </w:r>
      <w:r w:rsidR="0094221C" w:rsidRPr="00E62261">
        <w:rPr>
          <w:rFonts w:ascii="GHEA Grapalat" w:hAnsi="GHEA Grapalat"/>
          <w:sz w:val="24"/>
          <w:szCs w:val="24"/>
          <w:lang w:val="hy-AM"/>
        </w:rPr>
        <w:t xml:space="preserve">լիազոր </w:t>
      </w:r>
      <w:r w:rsidRPr="00E62261">
        <w:rPr>
          <w:rFonts w:ascii="GHEA Grapalat" w:hAnsi="GHEA Grapalat"/>
          <w:sz w:val="24"/>
          <w:szCs w:val="24"/>
          <w:lang w:val="hy-AM"/>
        </w:rPr>
        <w:t>մարմնի կողմից պետք է գնահատվ</w:t>
      </w:r>
      <w:r w:rsidR="0094221C" w:rsidRPr="00E62261">
        <w:rPr>
          <w:rFonts w:ascii="GHEA Grapalat" w:hAnsi="GHEA Grapalat"/>
          <w:sz w:val="24"/>
          <w:szCs w:val="24"/>
          <w:lang w:val="hy-AM"/>
        </w:rPr>
        <w:t>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ընկերության </w:t>
      </w:r>
      <w:r w:rsidR="0094221C" w:rsidRPr="00E62261">
        <w:rPr>
          <w:rFonts w:ascii="GHEA Grapalat" w:hAnsi="GHEA Grapalat"/>
          <w:sz w:val="24"/>
          <w:szCs w:val="24"/>
          <w:lang w:val="hy-AM"/>
        </w:rPr>
        <w:t xml:space="preserve">գործունեության արդյունքները, </w:t>
      </w:r>
      <w:r w:rsidRPr="00E62261">
        <w:rPr>
          <w:rFonts w:ascii="GHEA Grapalat" w:hAnsi="GHEA Grapalat"/>
          <w:sz w:val="24"/>
          <w:szCs w:val="24"/>
          <w:lang w:val="hy-AM"/>
        </w:rPr>
        <w:t>և անհրաժեշտության դեպքում վերանայվեն հաջորդ տարվա նպատակներ</w:t>
      </w:r>
      <w:r w:rsidR="0094221C" w:rsidRPr="00E62261">
        <w:rPr>
          <w:rFonts w:ascii="GHEA Grapalat" w:hAnsi="GHEA Grapalat"/>
          <w:sz w:val="24"/>
          <w:szCs w:val="24"/>
          <w:lang w:val="hy-AM"/>
        </w:rPr>
        <w:t>ը</w:t>
      </w:r>
      <w:r w:rsidRPr="00E62261">
        <w:rPr>
          <w:rFonts w:ascii="GHEA Grapalat" w:hAnsi="GHEA Grapalat"/>
          <w:sz w:val="24"/>
          <w:szCs w:val="24"/>
          <w:lang w:val="hy-AM"/>
        </w:rPr>
        <w:t>:</w:t>
      </w:r>
    </w:p>
    <w:p w14:paraId="72892FA4" w14:textId="5EEBBB9A" w:rsidR="00DE3AF9" w:rsidRPr="00DE3AF9" w:rsidRDefault="00DE3AF9" w:rsidP="00DE3AF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5BC8">
        <w:rPr>
          <w:rFonts w:ascii="GHEA Grapalat" w:hAnsi="GHEA Grapalat"/>
          <w:sz w:val="24"/>
          <w:szCs w:val="24"/>
          <w:lang w:val="hy-AM"/>
        </w:rPr>
        <w:t>Անհրաժեշտ է սահմանել կատարողականի և աշխատակիցների վարձատրության միջև կապ, կամ այլ մոտիվացիոն մեխանիզմներ։</w:t>
      </w:r>
    </w:p>
    <w:p w14:paraId="421BA027" w14:textId="77777777" w:rsidR="003C53B3" w:rsidRPr="00C45BC8" w:rsidRDefault="003C53B3" w:rsidP="00C45BC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Toc162281627"/>
    </w:p>
    <w:p w14:paraId="3B44F0F5" w14:textId="4D13D3C5" w:rsidR="00641106" w:rsidRPr="008E09C8" w:rsidRDefault="00641106" w:rsidP="008E09C8">
      <w:pPr>
        <w:spacing w:line="276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8E09C8">
        <w:rPr>
          <w:rFonts w:ascii="GHEA Grapalat" w:hAnsi="GHEA Grapalat"/>
          <w:b/>
          <w:i/>
          <w:sz w:val="24"/>
          <w:lang w:val="hy-AM"/>
        </w:rPr>
        <w:t>Բաժնեմասնակցության</w:t>
      </w:r>
      <w:r w:rsidR="00A716DC">
        <w:rPr>
          <w:rFonts w:ascii="GHEA Grapalat" w:hAnsi="GHEA Grapalat"/>
          <w:b/>
          <w:i/>
          <w:sz w:val="24"/>
          <w:lang w:val="hy-AM"/>
        </w:rPr>
        <w:t xml:space="preserve"> կառ</w:t>
      </w:r>
      <w:r w:rsidR="003313AE">
        <w:rPr>
          <w:rFonts w:ascii="GHEA Grapalat" w:hAnsi="GHEA Grapalat"/>
          <w:b/>
          <w:i/>
          <w:sz w:val="24"/>
          <w:lang w:val="hy-AM"/>
        </w:rPr>
        <w:t>ա</w:t>
      </w:r>
      <w:r w:rsidR="00A716DC">
        <w:rPr>
          <w:rFonts w:ascii="GHEA Grapalat" w:hAnsi="GHEA Grapalat"/>
          <w:b/>
          <w:i/>
          <w:sz w:val="24"/>
          <w:lang w:val="hy-AM"/>
        </w:rPr>
        <w:t>վարում, այդ թվում</w:t>
      </w:r>
      <w:r w:rsidR="003313AE">
        <w:rPr>
          <w:rFonts w:ascii="GHEA Grapalat" w:hAnsi="GHEA Grapalat"/>
          <w:b/>
          <w:i/>
          <w:sz w:val="24"/>
          <w:lang w:val="hy-AM"/>
        </w:rPr>
        <w:t>՝</w:t>
      </w:r>
      <w:r w:rsidR="00A716DC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94221C" w:rsidRPr="008E09C8">
        <w:rPr>
          <w:rFonts w:ascii="GHEA Grapalat" w:hAnsi="GHEA Grapalat"/>
          <w:b/>
          <w:i/>
          <w:sz w:val="24"/>
          <w:lang w:val="hy-AM"/>
        </w:rPr>
        <w:t>շահ</w:t>
      </w:r>
      <w:r w:rsidR="00967200" w:rsidRPr="008E09C8">
        <w:rPr>
          <w:rFonts w:ascii="GHEA Grapalat" w:hAnsi="GHEA Grapalat"/>
          <w:b/>
          <w:i/>
          <w:sz w:val="24"/>
          <w:lang w:val="hy-AM"/>
        </w:rPr>
        <w:t>ութա</w:t>
      </w:r>
      <w:r w:rsidR="0094221C" w:rsidRPr="008E09C8">
        <w:rPr>
          <w:rFonts w:ascii="GHEA Grapalat" w:hAnsi="GHEA Grapalat"/>
          <w:b/>
          <w:i/>
          <w:sz w:val="24"/>
          <w:lang w:val="hy-AM"/>
        </w:rPr>
        <w:t xml:space="preserve">բաժինների </w:t>
      </w:r>
      <w:r w:rsidRPr="008E09C8">
        <w:rPr>
          <w:rFonts w:ascii="GHEA Grapalat" w:hAnsi="GHEA Grapalat"/>
          <w:b/>
          <w:i/>
          <w:sz w:val="24"/>
          <w:lang w:val="hy-AM"/>
        </w:rPr>
        <w:t>քաղաքականություն</w:t>
      </w:r>
      <w:bookmarkEnd w:id="1"/>
    </w:p>
    <w:p w14:paraId="5B82C04F" w14:textId="6B2829EE" w:rsidR="0094221C" w:rsidRPr="00E62261" w:rsidRDefault="006F6662" w:rsidP="008E09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ՊՄԸ-երի համար անհրաժեշտ է սահմանել ֆինանսական և ոչ ֆինանսական չափորոշիչներ, որոնք ուղղակիորեն կապված կլինեն իրենց ռազմավարական </w:t>
      </w:r>
      <w:r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նպատակների հետ: Այս համակարգը պետք է հիմք հանդիսանա կատարողականի քանակական և որակական արդյո</w:t>
      </w: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ւնքների </w:t>
      </w:r>
      <w:r w:rsidR="0094221C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գնահատման </w:t>
      </w: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համար: </w:t>
      </w:r>
    </w:p>
    <w:p w14:paraId="39923953" w14:textId="7EDD8D1D" w:rsidR="0094221C" w:rsidRPr="00E62261" w:rsidRDefault="006F6662" w:rsidP="008E09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Ներդրումների և դրանց ֆինանսավորման աղբյուրների վերաբերյալ որոշումները պետք է բխեն տվյալ ընկերության երկարաժամկետ ռազմավարությունից։ </w:t>
      </w:r>
    </w:p>
    <w:p w14:paraId="5AD6FE10" w14:textId="147B82E8" w:rsidR="00967200" w:rsidRPr="00C45BC8" w:rsidRDefault="00641106" w:rsidP="008E09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>Թիրախները պետք է սահմանվեն ըստ յուրաքանչյուր ընկերության (առանցքային ընկերությունների համար)՝ խուսափելով</w:t>
      </w:r>
      <w:r w:rsidR="006F6662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մեկ</w:t>
      </w: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միասնական</w:t>
      </w:r>
      <w:r w:rsidR="00967200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սեփական կապիտալի </w:t>
      </w:r>
      <w:r w:rsidRPr="00C45B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եկամտաբերության կամ </w:t>
      </w:r>
      <w:r w:rsidR="006F6662" w:rsidRPr="00C45BC8">
        <w:rPr>
          <w:rFonts w:ascii="GHEA Grapalat" w:hAnsi="GHEA Grapalat" w:cs="Arial"/>
          <w:color w:val="000000"/>
          <w:sz w:val="24"/>
          <w:szCs w:val="24"/>
          <w:lang w:val="hy-AM"/>
        </w:rPr>
        <w:t>շահութաբաժինների վճարման</w:t>
      </w:r>
      <w:r w:rsidRPr="00C45B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ցուցանիշներից</w:t>
      </w:r>
      <w:r w:rsidR="006F6662" w:rsidRPr="00C45BC8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14:paraId="09706EDE" w14:textId="3C8F2166" w:rsidR="006F6662" w:rsidRPr="00D96D9D" w:rsidRDefault="006F6662" w:rsidP="008E09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5BC8">
        <w:rPr>
          <w:rFonts w:ascii="GHEA Grapalat" w:hAnsi="GHEA Grapalat"/>
          <w:sz w:val="24"/>
          <w:szCs w:val="24"/>
          <w:lang w:val="hy-AM"/>
        </w:rPr>
        <w:t xml:space="preserve">Առաջարկվում է ՊՄԸ-ներում </w:t>
      </w:r>
      <w:r w:rsidR="00967200" w:rsidRPr="00C45BC8">
        <w:rPr>
          <w:rFonts w:ascii="GHEA Grapalat" w:hAnsi="GHEA Grapalat"/>
          <w:sz w:val="24"/>
          <w:szCs w:val="24"/>
          <w:lang w:val="hy-AM"/>
        </w:rPr>
        <w:t xml:space="preserve">որդեգրել </w:t>
      </w:r>
      <w:r w:rsidRPr="00C45BC8">
        <w:rPr>
          <w:rFonts w:ascii="GHEA Grapalat" w:hAnsi="GHEA Grapalat"/>
          <w:sz w:val="24"/>
          <w:szCs w:val="24"/>
          <w:lang w:val="hy-AM"/>
        </w:rPr>
        <w:t>շահութաբաժիններ</w:t>
      </w:r>
      <w:r w:rsidR="00967200" w:rsidRPr="00C45BC8">
        <w:rPr>
          <w:rFonts w:ascii="GHEA Grapalat" w:hAnsi="GHEA Grapalat"/>
          <w:sz w:val="24"/>
          <w:szCs w:val="24"/>
          <w:lang w:val="hy-AM"/>
        </w:rPr>
        <w:t>ը՝</w:t>
      </w:r>
      <w:r w:rsidR="001A7C67" w:rsidRPr="00C45BC8">
        <w:rPr>
          <w:rFonts w:ascii="GHEA Grapalat" w:hAnsi="GHEA Grapalat"/>
          <w:sz w:val="24"/>
          <w:szCs w:val="24"/>
          <w:lang w:val="hy-AM"/>
        </w:rPr>
        <w:t xml:space="preserve"> տվյալ տարվա քաղաքականության առաջնահերթություններից ելնելով սահմանելու </w:t>
      </w:r>
      <w:r w:rsidR="00967200" w:rsidRPr="00C45BC8">
        <w:rPr>
          <w:rFonts w:ascii="GHEA Grapalat" w:hAnsi="GHEA Grapalat"/>
          <w:sz w:val="24"/>
          <w:szCs w:val="24"/>
          <w:lang w:val="hy-AM"/>
        </w:rPr>
        <w:t>քաղաքականություն</w:t>
      </w:r>
      <w:r w:rsidR="00C45BC8">
        <w:rPr>
          <w:rFonts w:ascii="GHEA Grapalat" w:hAnsi="GHEA Grapalat"/>
          <w:sz w:val="24"/>
          <w:szCs w:val="24"/>
          <w:lang w:val="hy-AM"/>
        </w:rPr>
        <w:t>՝</w:t>
      </w:r>
      <w:r w:rsidR="007070E9" w:rsidRPr="00C45BC8">
        <w:rPr>
          <w:rFonts w:ascii="GHEA Grapalat" w:hAnsi="GHEA Grapalat"/>
          <w:sz w:val="24"/>
          <w:szCs w:val="24"/>
          <w:lang w:val="hy-AM"/>
        </w:rPr>
        <w:t xml:space="preserve"> ապահովելով վերջիններիս երկարաժամկետ ֆինանսական կայունությունը և արդյունավետ ֆինանսական և գործառնական կառավարումը</w:t>
      </w:r>
      <w:r w:rsidRPr="00C45BC8">
        <w:rPr>
          <w:rFonts w:ascii="GHEA Grapalat" w:hAnsi="GHEA Grapalat"/>
          <w:sz w:val="24"/>
          <w:szCs w:val="24"/>
          <w:lang w:val="hy-AM"/>
        </w:rPr>
        <w:t>։</w:t>
      </w:r>
      <w:r w:rsidR="007070E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45DBF01" w14:textId="77777777" w:rsidR="003313AE" w:rsidRDefault="003313AE" w:rsidP="008E09C8">
      <w:pPr>
        <w:spacing w:line="276" w:lineRule="auto"/>
        <w:rPr>
          <w:rFonts w:ascii="GHEA Grapalat" w:hAnsi="GHEA Grapalat"/>
          <w:b/>
          <w:i/>
          <w:sz w:val="24"/>
          <w:lang w:val="hy-AM"/>
        </w:rPr>
      </w:pPr>
      <w:bookmarkStart w:id="2" w:name="_Toc162281628"/>
    </w:p>
    <w:p w14:paraId="29856E75" w14:textId="0DCC40F1" w:rsidR="00641106" w:rsidRPr="008E09C8" w:rsidRDefault="003B4CE6" w:rsidP="003B4CE6">
      <w:pPr>
        <w:spacing w:line="276" w:lineRule="auto"/>
        <w:jc w:val="both"/>
        <w:rPr>
          <w:rFonts w:ascii="GHEA Grapalat" w:hAnsi="GHEA Grapalat"/>
          <w:b/>
          <w:i/>
          <w:sz w:val="24"/>
          <w:lang w:val="hy-AM"/>
        </w:rPr>
      </w:pPr>
      <w:bookmarkStart w:id="3" w:name="_Toc162281629"/>
      <w:r w:rsidRPr="008E09C8">
        <w:rPr>
          <w:rFonts w:ascii="GHEA Grapalat" w:hAnsi="GHEA Grapalat"/>
          <w:b/>
          <w:i/>
          <w:sz w:val="24"/>
          <w:lang w:val="hy-AM"/>
        </w:rPr>
        <w:t>Կորպորատիվ կառավարման</w:t>
      </w:r>
      <w:r>
        <w:rPr>
          <w:rFonts w:ascii="GHEA Grapalat" w:hAnsi="GHEA Grapalat"/>
          <w:b/>
          <w:i/>
          <w:sz w:val="24"/>
          <w:lang w:val="hy-AM"/>
        </w:rPr>
        <w:t xml:space="preserve"> </w:t>
      </w:r>
      <w:bookmarkEnd w:id="3"/>
      <w:r w:rsidRPr="008E09C8">
        <w:rPr>
          <w:rFonts w:ascii="GHEA Grapalat" w:hAnsi="GHEA Grapalat"/>
          <w:b/>
          <w:i/>
          <w:sz w:val="24"/>
          <w:lang w:val="hy-AM"/>
        </w:rPr>
        <w:t>բարելավում</w:t>
      </w:r>
      <w:r>
        <w:rPr>
          <w:rFonts w:ascii="GHEA Grapalat" w:hAnsi="GHEA Grapalat"/>
          <w:b/>
          <w:i/>
          <w:sz w:val="24"/>
          <w:lang w:val="hy-AM"/>
        </w:rPr>
        <w:t xml:space="preserve"> և խ</w:t>
      </w:r>
      <w:r w:rsidR="00641106" w:rsidRPr="008E09C8">
        <w:rPr>
          <w:rFonts w:ascii="GHEA Grapalat" w:hAnsi="GHEA Grapalat"/>
          <w:b/>
          <w:i/>
          <w:sz w:val="24"/>
          <w:lang w:val="hy-AM"/>
        </w:rPr>
        <w:t>որհրդի</w:t>
      </w:r>
      <w:r w:rsidR="00AC55BF" w:rsidRPr="008E09C8">
        <w:rPr>
          <w:rFonts w:ascii="GHEA Grapalat" w:hAnsi="GHEA Grapalat"/>
          <w:b/>
          <w:i/>
          <w:sz w:val="24"/>
          <w:lang w:val="hy-AM"/>
        </w:rPr>
        <w:t xml:space="preserve"> </w:t>
      </w:r>
      <w:bookmarkEnd w:id="2"/>
      <w:r w:rsidR="00A716DC">
        <w:rPr>
          <w:rFonts w:ascii="GHEA Grapalat" w:hAnsi="GHEA Grapalat"/>
          <w:b/>
          <w:i/>
          <w:sz w:val="24"/>
          <w:lang w:val="hy-AM"/>
        </w:rPr>
        <w:t>անդամի նշանակում</w:t>
      </w:r>
    </w:p>
    <w:p w14:paraId="01F82D03" w14:textId="77777777" w:rsidR="003B4CE6" w:rsidRDefault="003B4CE6" w:rsidP="003B4CE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>ՀՀ կառավարությունը կարող է կորպորատիվ կառավարման կանոնագրքի որոշ դրույթներ առանցքային ՊՄԸ-ների համար դարձնել պարտադիր</w:t>
      </w:r>
      <w:r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միաժամանակ 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>ներդնել</w:t>
      </w:r>
      <w:r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կանոնագրքի սկզբունքների համապատասխանության գնահատման մեխանիզմ։</w:t>
      </w:r>
    </w:p>
    <w:p w14:paraId="7EEB3CC4" w14:textId="6E6AF07B" w:rsidR="00641106" w:rsidRPr="008E09C8" w:rsidRDefault="00641106" w:rsidP="008E09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Խոշոր և ռազմավարական նշանակություն ունեցող ընկերությունների համար պետք է ներդրվի խորհրդի </w:t>
      </w:r>
      <w:r w:rsidR="003B4CE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գործունեության, 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անդամների ընտրության, վարձատրության և հաշվետվողականության </w:t>
      </w:r>
      <w:r w:rsidR="00967200"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>մեխանիզմ</w:t>
      </w:r>
      <w:r w:rsidR="003313AE">
        <w:rPr>
          <w:rFonts w:ascii="GHEA Grapalat" w:hAnsi="GHEA Grapalat" w:cs="Arial"/>
          <w:color w:val="000000"/>
          <w:sz w:val="24"/>
          <w:szCs w:val="24"/>
          <w:lang w:val="hy-AM"/>
        </w:rPr>
        <w:t>ներ, որոնք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պետք է </w:t>
      </w:r>
      <w:r w:rsidR="009C4B0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համապատասխանեն հետևյալ </w:t>
      </w:r>
      <w:r w:rsidR="009C4B05" w:rsidRPr="00373F04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սկզբունքներին</w:t>
      </w:r>
      <w:r w:rsidR="00967200" w:rsidRPr="008E09C8">
        <w:rPr>
          <w:rFonts w:ascii="Cambria Math" w:hAnsi="Cambria Math" w:cs="Arial"/>
          <w:color w:val="000000"/>
          <w:sz w:val="24"/>
          <w:szCs w:val="24"/>
          <w:lang w:val="hy-AM"/>
        </w:rPr>
        <w:t>․</w:t>
      </w:r>
    </w:p>
    <w:p w14:paraId="08331621" w14:textId="77777777" w:rsidR="003B4CE6" w:rsidRPr="00E55173" w:rsidRDefault="003B4CE6" w:rsidP="00E5517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>Խորհրդի դերը և գործառույթները պետք է լինեն հստակ և չափելի</w:t>
      </w:r>
      <w:r w:rsidRPr="00E5517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23A5B608" w14:textId="1250A571" w:rsidR="003B4CE6" w:rsidRPr="00E55173" w:rsidRDefault="003B4CE6" w:rsidP="00E5517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խորհուրդները </w:t>
      </w:r>
      <w:r w:rsidR="00614AFB"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չպետք է կատարեն զուտ </w:t>
      </w: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ֆորմալ դեր, </w:t>
      </w:r>
      <w:r w:rsidR="00614AFB"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պետք է </w:t>
      </w: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ներգրավված </w:t>
      </w:r>
      <w:r w:rsidR="00614AFB"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>լինեն</w:t>
      </w: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ռազմավարության ձևավորման, կառավարչի վարձատրության որոշման, ներքին աուդիտի, ռիսկերի կառավարման և ներքին վերահսկողության պրակտիկաների բարելավման գործընթացում, որոնք լավ կորպորատիվ կառավարման փորձառության դեպքում</w:t>
      </w:r>
      <w:r w:rsidR="00E55173"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խորհրդի առաջնային խնդիրներն են,</w:t>
      </w:r>
    </w:p>
    <w:p w14:paraId="3FA60CA9" w14:textId="17B9F93A" w:rsidR="003B4CE6" w:rsidRPr="00E55173" w:rsidRDefault="003B4CE6" w:rsidP="003B4CE6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>խորհրդը պետք է բաղկացած լինի միայն պրոֆեսիոնալ, անկախ անդամներից</w:t>
      </w:r>
      <w:r w:rsidRPr="00E5517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Ներկայիս դրությամբ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խ</w:t>
      </w:r>
      <w:r w:rsidRPr="003313AE">
        <w:rPr>
          <w:rFonts w:ascii="GHEA Grapalat" w:hAnsi="GHEA Grapalat" w:cs="Arial"/>
          <w:color w:val="000000"/>
          <w:sz w:val="24"/>
          <w:szCs w:val="24"/>
          <w:lang w:val="hy-AM"/>
        </w:rPr>
        <w:t>որհուրդի կազմը հիմնականում բաղկացած է հանրային ծառայողներից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. հ</w:t>
      </w:r>
      <w:r w:rsidRPr="003313AE">
        <w:rPr>
          <w:rFonts w:ascii="GHEA Grapalat" w:hAnsi="GHEA Grapalat" w:cs="Arial"/>
          <w:color w:val="000000"/>
          <w:sz w:val="24"/>
          <w:szCs w:val="24"/>
          <w:lang w:val="hy-AM"/>
        </w:rPr>
        <w:t>ազվադեպ են անկախ անդամների ներգրավմա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մբ ձևավորված խորհուրդների</w:t>
      </w:r>
      <w:r w:rsidRPr="003313A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դեպքերը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0E2177">
        <w:rPr>
          <w:rFonts w:ascii="GHEA Grapalat" w:hAnsi="GHEA Grapalat" w:cs="Arial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թույլ զարգացած </w:t>
      </w:r>
      <w:r w:rsidRPr="000E2177">
        <w:rPr>
          <w:rFonts w:ascii="GHEA Grapalat" w:hAnsi="GHEA Grapalat" w:cs="Arial"/>
          <w:color w:val="000000"/>
          <w:sz w:val="24"/>
          <w:szCs w:val="24"/>
          <w:lang w:val="hy-AM"/>
        </w:rPr>
        <w:t>board dynamics)</w:t>
      </w:r>
      <w:r w:rsidRPr="00E55173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</w:p>
    <w:p w14:paraId="5945AA5A" w14:textId="538FE61E" w:rsidR="00641106" w:rsidRPr="008E09C8" w:rsidRDefault="00967200" w:rsidP="008E09C8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ա</w:t>
      </w:r>
      <w:r w:rsidR="00641106" w:rsidRPr="008E09C8">
        <w:rPr>
          <w:rFonts w:ascii="GHEA Grapalat" w:hAnsi="GHEA Grapalat"/>
          <w:sz w:val="24"/>
          <w:szCs w:val="24"/>
          <w:lang w:val="hy-AM"/>
        </w:rPr>
        <w:t xml:space="preserve">նկախ անդամները պետք է գործեն ի շահ ընկերության երկարաժամկետ և կայուն զարգացման, ապահովեն ընկերությունում 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պատշաճ </w:t>
      </w:r>
      <w:r w:rsidR="00641106" w:rsidRPr="008E09C8">
        <w:rPr>
          <w:rFonts w:ascii="GHEA Grapalat" w:hAnsi="GHEA Grapalat"/>
          <w:sz w:val="24"/>
          <w:szCs w:val="24"/>
          <w:lang w:val="hy-AM"/>
        </w:rPr>
        <w:t>ներքին վերահսկողությ</w:t>
      </w:r>
      <w:r w:rsidRPr="00D96D9D">
        <w:rPr>
          <w:rFonts w:ascii="GHEA Grapalat" w:hAnsi="GHEA Grapalat"/>
          <w:sz w:val="24"/>
          <w:szCs w:val="24"/>
          <w:lang w:val="hy-AM"/>
        </w:rPr>
        <w:t>ու</w:t>
      </w:r>
      <w:r w:rsidR="00641106" w:rsidRPr="008E09C8">
        <w:rPr>
          <w:rFonts w:ascii="GHEA Grapalat" w:hAnsi="GHEA Grapalat"/>
          <w:sz w:val="24"/>
          <w:szCs w:val="24"/>
          <w:lang w:val="hy-AM"/>
        </w:rPr>
        <w:t>ն և ռիսկերի կառավար</w:t>
      </w:r>
      <w:r w:rsidRPr="00D96D9D">
        <w:rPr>
          <w:rFonts w:ascii="GHEA Grapalat" w:hAnsi="GHEA Grapalat"/>
          <w:sz w:val="24"/>
          <w:szCs w:val="24"/>
          <w:lang w:val="hy-AM"/>
        </w:rPr>
        <w:t>ում</w:t>
      </w:r>
      <w:r w:rsidR="00177024" w:rsidRPr="00D96D9D">
        <w:rPr>
          <w:rFonts w:ascii="Cambria Math" w:hAnsi="Cambria Math"/>
          <w:sz w:val="24"/>
          <w:szCs w:val="24"/>
          <w:lang w:val="hy-AM"/>
        </w:rPr>
        <w:t>,</w:t>
      </w:r>
    </w:p>
    <w:p w14:paraId="60A52A71" w14:textId="458A9984" w:rsidR="00641106" w:rsidRDefault="00967200" w:rsidP="008E09C8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lastRenderedPageBreak/>
        <w:t xml:space="preserve">պետք է ներդրվեն </w:t>
      </w:r>
      <w:r w:rsidRPr="00E62261">
        <w:rPr>
          <w:rFonts w:ascii="GHEA Grapalat" w:hAnsi="GHEA Grapalat"/>
          <w:sz w:val="24"/>
          <w:szCs w:val="24"/>
          <w:lang w:val="hy-AM"/>
        </w:rPr>
        <w:t>ա</w:t>
      </w:r>
      <w:r w:rsidR="00641106" w:rsidRPr="008E09C8">
        <w:rPr>
          <w:rFonts w:ascii="GHEA Grapalat" w:hAnsi="GHEA Grapalat"/>
          <w:sz w:val="24"/>
          <w:szCs w:val="24"/>
          <w:lang w:val="hy-AM"/>
        </w:rPr>
        <w:t xml:space="preserve">նկախ անդամների փոփոխության թափանցիկ և </w:t>
      </w:r>
      <w:r w:rsidRPr="00D96D9D">
        <w:rPr>
          <w:rFonts w:ascii="GHEA Grapalat" w:hAnsi="GHEA Grapalat"/>
          <w:sz w:val="24"/>
          <w:szCs w:val="24"/>
          <w:lang w:val="hy-AM"/>
        </w:rPr>
        <w:t>կայուն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6D9D">
        <w:rPr>
          <w:rFonts w:ascii="GHEA Grapalat" w:hAnsi="GHEA Grapalat"/>
          <w:sz w:val="24"/>
          <w:szCs w:val="24"/>
          <w:lang w:val="hy-AM"/>
        </w:rPr>
        <w:t>մեխանիզմներ</w:t>
      </w:r>
      <w:r w:rsidR="00641106" w:rsidRPr="008E09C8">
        <w:rPr>
          <w:rFonts w:ascii="GHEA Grapalat" w:hAnsi="GHEA Grapalat"/>
          <w:sz w:val="24"/>
          <w:szCs w:val="24"/>
          <w:lang w:val="hy-AM"/>
        </w:rPr>
        <w:t>, որոնք ռոտացիայի սկզբունքի պահպանմամբ կապահովեն անխափան աշխատանքը՝ անկախ քաղաքական փոփոխություն</w:t>
      </w:r>
      <w:r w:rsidRPr="00D96D9D">
        <w:rPr>
          <w:rFonts w:ascii="GHEA Grapalat" w:hAnsi="GHEA Grapalat"/>
          <w:sz w:val="24"/>
          <w:szCs w:val="24"/>
          <w:lang w:val="hy-AM"/>
        </w:rPr>
        <w:t>ներից</w:t>
      </w:r>
      <w:r w:rsidR="003B4CE6">
        <w:rPr>
          <w:rFonts w:ascii="GHEA Grapalat" w:hAnsi="GHEA Grapalat"/>
          <w:sz w:val="24"/>
          <w:szCs w:val="24"/>
          <w:lang w:val="hy-AM"/>
        </w:rPr>
        <w:t>,</w:t>
      </w:r>
    </w:p>
    <w:p w14:paraId="127E645C" w14:textId="1D9A23D3" w:rsidR="003B4CE6" w:rsidRPr="005D2AF3" w:rsidRDefault="003B4CE6" w:rsidP="003B4CE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D2AF3">
        <w:rPr>
          <w:rFonts w:ascii="GHEA Grapalat" w:hAnsi="GHEA Grapalat" w:cs="Arial"/>
          <w:color w:val="000000"/>
          <w:sz w:val="24"/>
          <w:szCs w:val="24"/>
          <w:lang w:val="hy-AM"/>
        </w:rPr>
        <w:t>պետք է սահմանվեն խորհրդի անդամների վարձատրության չափի որոշման թափանցիկ մեխանիզմներ, որի արդյունքում վարձատրության չափերը համադրելի կլինեն շուկայի պայմաններին.</w:t>
      </w:r>
    </w:p>
    <w:p w14:paraId="0985D150" w14:textId="22821A99" w:rsidR="00641106" w:rsidRPr="008E09C8" w:rsidRDefault="00641106" w:rsidP="008E09C8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>Խորհրդի անկախ անդամները պետք է՝</w:t>
      </w:r>
    </w:p>
    <w:p w14:paraId="6DBB9EBC" w14:textId="6FE6269A" w:rsidR="00641106" w:rsidRPr="008E09C8" w:rsidRDefault="00177024" w:rsidP="008E09C8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վ</w:t>
      </w:r>
      <w:r w:rsidR="00641106" w:rsidRPr="008E09C8">
        <w:rPr>
          <w:rFonts w:ascii="GHEA Grapalat" w:hAnsi="GHEA Grapalat"/>
          <w:sz w:val="24"/>
          <w:szCs w:val="24"/>
          <w:lang w:val="hy-AM"/>
        </w:rPr>
        <w:t>երահսկեն ռազմավարական ծրագրերի իրագործումը,</w:t>
      </w:r>
    </w:p>
    <w:p w14:paraId="51C586BC" w14:textId="727FF69F" w:rsidR="00641106" w:rsidRPr="008E09C8" w:rsidRDefault="00177024" w:rsidP="008E09C8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հ</w:t>
      </w:r>
      <w:r w:rsidR="00641106" w:rsidRPr="008E09C8">
        <w:rPr>
          <w:rFonts w:ascii="GHEA Grapalat" w:hAnsi="GHEA Grapalat"/>
          <w:sz w:val="24"/>
          <w:szCs w:val="24"/>
          <w:lang w:val="hy-AM"/>
        </w:rPr>
        <w:t>ամակարգեն կատարողական հաշվետվությունների մշակումը,</w:t>
      </w:r>
    </w:p>
    <w:p w14:paraId="21CEBEA1" w14:textId="105CC8BC" w:rsidR="00641106" w:rsidRPr="00CF04D8" w:rsidRDefault="00177024" w:rsidP="008E09C8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4D8">
        <w:rPr>
          <w:rFonts w:ascii="GHEA Grapalat" w:hAnsi="GHEA Grapalat"/>
          <w:sz w:val="24"/>
          <w:szCs w:val="24"/>
          <w:lang w:val="hy-AM"/>
        </w:rPr>
        <w:t>ն</w:t>
      </w:r>
      <w:r w:rsidR="00641106" w:rsidRPr="00CF04D8">
        <w:rPr>
          <w:rFonts w:ascii="GHEA Grapalat" w:hAnsi="GHEA Grapalat"/>
          <w:sz w:val="24"/>
          <w:szCs w:val="24"/>
          <w:lang w:val="hy-AM"/>
        </w:rPr>
        <w:t xml:space="preserve">երդնեն կորպորատիվ կառավարման լավագույն </w:t>
      </w:r>
      <w:r w:rsidRPr="00CF04D8">
        <w:rPr>
          <w:rFonts w:ascii="GHEA Grapalat" w:hAnsi="GHEA Grapalat"/>
          <w:sz w:val="24"/>
          <w:szCs w:val="24"/>
          <w:lang w:val="hy-AM"/>
        </w:rPr>
        <w:t>փորձը</w:t>
      </w:r>
      <w:r w:rsidR="001A7C67" w:rsidRPr="00CF04D8">
        <w:rPr>
          <w:rFonts w:ascii="GHEA Grapalat" w:hAnsi="GHEA Grapalat"/>
          <w:sz w:val="24"/>
          <w:szCs w:val="24"/>
          <w:lang w:val="hy-AM"/>
        </w:rPr>
        <w:t>,</w:t>
      </w:r>
    </w:p>
    <w:p w14:paraId="528D952F" w14:textId="4133BDB1" w:rsidR="001A7C67" w:rsidRPr="00CF04D8" w:rsidRDefault="004C70E3" w:rsidP="008E09C8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4D8">
        <w:rPr>
          <w:rFonts w:ascii="GHEA Grapalat" w:hAnsi="GHEA Grapalat"/>
          <w:sz w:val="24"/>
          <w:szCs w:val="24"/>
          <w:lang w:val="hy-AM"/>
        </w:rPr>
        <w:t>իրականացնեն գործունեություն, որը ուղղված կլինի քաղաքականության նպատակներին։</w:t>
      </w:r>
    </w:p>
    <w:p w14:paraId="6686F4AB" w14:textId="509D6776" w:rsidR="00641106" w:rsidRPr="008E09C8" w:rsidRDefault="00641106" w:rsidP="008E09C8">
      <w:pPr>
        <w:spacing w:line="276" w:lineRule="auto"/>
        <w:rPr>
          <w:rFonts w:ascii="GHEA Grapalat" w:hAnsi="GHEA Grapalat"/>
          <w:b/>
          <w:i/>
          <w:sz w:val="24"/>
          <w:lang w:val="hy-AM"/>
        </w:rPr>
      </w:pPr>
      <w:bookmarkStart w:id="4" w:name="_Toc162281630"/>
      <w:r w:rsidRPr="008E09C8">
        <w:rPr>
          <w:rFonts w:ascii="GHEA Grapalat" w:hAnsi="GHEA Grapalat"/>
          <w:b/>
          <w:i/>
          <w:sz w:val="24"/>
          <w:lang w:val="hy-AM"/>
        </w:rPr>
        <w:t xml:space="preserve">Ֆինանսական </w:t>
      </w:r>
      <w:bookmarkEnd w:id="4"/>
      <w:r w:rsidR="00AC55BF" w:rsidRPr="008E09C8">
        <w:rPr>
          <w:rFonts w:ascii="GHEA Grapalat" w:hAnsi="GHEA Grapalat"/>
          <w:b/>
          <w:i/>
          <w:sz w:val="24"/>
          <w:lang w:val="hy-AM"/>
        </w:rPr>
        <w:t>վերահսկողություն</w:t>
      </w:r>
    </w:p>
    <w:p w14:paraId="49EFE1D6" w14:textId="3EE5357D" w:rsidR="00DE3AF9" w:rsidRDefault="00641106" w:rsidP="00DE3AF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Ֆինանսական վերահսկողությունը պետք է </w:t>
      </w:r>
      <w:r w:rsidR="006E201D"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t>բարելավվի՝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ընդգրկ</w:t>
      </w:r>
      <w:r w:rsidR="006E201D"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t>ելով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կատարողական</w:t>
      </w:r>
      <w:r w:rsidR="006E201D"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ցուցանիշները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 ռազմավարության իրագործ</w:t>
      </w:r>
      <w:r w:rsidR="006E201D" w:rsidRPr="00D96D9D">
        <w:rPr>
          <w:rFonts w:ascii="GHEA Grapalat" w:hAnsi="GHEA Grapalat" w:cs="Arial"/>
          <w:color w:val="000000"/>
          <w:sz w:val="24"/>
          <w:szCs w:val="24"/>
          <w:lang w:val="hy-AM"/>
        </w:rPr>
        <w:t>ման գնահատումը</w:t>
      </w:r>
      <w:r w:rsidRPr="008E09C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։ </w:t>
      </w:r>
    </w:p>
    <w:p w14:paraId="66F50438" w14:textId="4D5FCC9E" w:rsidR="00DE3AF9" w:rsidRPr="00E62261" w:rsidRDefault="00614AFB" w:rsidP="00DE3AF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B2AAB">
        <w:rPr>
          <w:rFonts w:ascii="GHEA Grapalat" w:hAnsi="GHEA Grapalat" w:cs="Arial"/>
          <w:color w:val="000000"/>
          <w:sz w:val="24"/>
          <w:szCs w:val="24"/>
          <w:lang w:val="hy-AM"/>
        </w:rPr>
        <w:t>Պետք է ապահովվի բավար</w:t>
      </w:r>
      <w:r w:rsidR="00513BBC" w:rsidRPr="00CB2A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թափանցիկության և հաշվետվողականության մակարդակ</w:t>
      </w:r>
      <w:r w:rsidR="00887B82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513BBC" w:rsidRPr="00CB2A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ֆ</w:t>
      </w:r>
      <w:r w:rsidR="00DE3AF9" w:rsidRPr="00CB2A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ինանսական և ոչ ֆինանսական </w:t>
      </w:r>
      <w:r w:rsidR="002A1FD3">
        <w:rPr>
          <w:rFonts w:ascii="GHEA Grapalat" w:hAnsi="GHEA Grapalat" w:cs="Arial"/>
          <w:color w:val="000000"/>
          <w:sz w:val="24"/>
          <w:szCs w:val="24"/>
          <w:lang w:val="hy-AM"/>
        </w:rPr>
        <w:t>ցուցանիշների կիրառմամբ</w:t>
      </w:r>
      <w:r w:rsidR="00513BBC" w:rsidRPr="00CB2A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։ </w:t>
      </w:r>
      <w:r w:rsidR="00B1293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Պետք է խուսափել </w:t>
      </w:r>
      <w:r w:rsidR="00B12931" w:rsidRPr="00CB2AAB">
        <w:rPr>
          <w:rFonts w:ascii="GHEA Grapalat" w:hAnsi="GHEA Grapalat" w:cs="Arial"/>
          <w:color w:val="000000"/>
          <w:sz w:val="24"/>
          <w:szCs w:val="24"/>
          <w:lang w:val="hy-AM"/>
        </w:rPr>
        <w:t>կապիտալի համալրման եղանակով</w:t>
      </w:r>
      <w:r w:rsidR="00B1293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ֆ</w:t>
      </w:r>
      <w:r w:rsidR="00DE3AF9" w:rsidRPr="00CB2A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ինանսական պակասուրդը </w:t>
      </w:r>
      <w:r w:rsidR="00B12931">
        <w:rPr>
          <w:rFonts w:ascii="GHEA Grapalat" w:hAnsi="GHEA Grapalat" w:cs="Arial"/>
          <w:color w:val="000000"/>
          <w:sz w:val="24"/>
          <w:szCs w:val="24"/>
          <w:lang w:val="hy-AM"/>
        </w:rPr>
        <w:t>ծածկելու մոտեցումից</w:t>
      </w:r>
      <w:r w:rsidR="002A1FD3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  <w:r w:rsidR="00513BBC" w:rsidRPr="00E622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3CD61C55" w14:textId="77777777" w:rsidR="00AC55BF" w:rsidRPr="00D96D9D" w:rsidRDefault="00AC55BF" w:rsidP="00AC55BF">
      <w:pPr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sz w:val="24"/>
          <w:lang w:val="hy-AM"/>
        </w:rPr>
      </w:pPr>
    </w:p>
    <w:p w14:paraId="44A54A0C" w14:textId="7F195C3C" w:rsidR="00AC55BF" w:rsidRPr="008E09C8" w:rsidRDefault="00AC55BF" w:rsidP="009C4B0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8E09C8">
        <w:rPr>
          <w:rFonts w:ascii="GHEA Grapalat" w:hAnsi="GHEA Grapalat"/>
          <w:b/>
          <w:i/>
          <w:sz w:val="24"/>
          <w:lang w:val="hy-AM"/>
        </w:rPr>
        <w:t xml:space="preserve">Բյուջեի և քաղաքականությունների </w:t>
      </w:r>
      <w:r w:rsidR="009C4B05">
        <w:rPr>
          <w:rFonts w:ascii="GHEA Grapalat" w:hAnsi="GHEA Grapalat"/>
          <w:b/>
          <w:i/>
          <w:sz w:val="24"/>
          <w:lang w:val="hy-AM"/>
        </w:rPr>
        <w:t>միջև</w:t>
      </w:r>
      <w:r w:rsidRPr="008E09C8">
        <w:rPr>
          <w:rFonts w:ascii="GHEA Grapalat" w:hAnsi="GHEA Grapalat"/>
          <w:b/>
          <w:i/>
          <w:sz w:val="24"/>
          <w:lang w:val="hy-AM"/>
        </w:rPr>
        <w:t xml:space="preserve"> փոխգործակցությունը</w:t>
      </w:r>
    </w:p>
    <w:p w14:paraId="6428CDB1" w14:textId="33DC19EC" w:rsidR="006E201D" w:rsidRPr="008E09C8" w:rsidRDefault="006E201D" w:rsidP="009C4B05">
      <w:pPr>
        <w:spacing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Կառավարությունը պետք է մշակի քվազիֆիսկալ</w:t>
      </w:r>
      <w:r w:rsidRPr="00D96D9D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5"/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գործողություններից բխող ռիսկերի արդյունավետ կառավարման քաղաքականություն, որը նվազագույնի կհասցնի ՊՄԸ-ների չփոխհատուցվող բեռը։ Վերջիններս բացասաբար են անդրադառնում ՊՄԸ-ների ֆինանսական վիճակի վրա՝ համեմատած այն ընկերությունների հետ, որոնք կենտրոնացած են բացառապես առևտրային շահույթի առավելագույնի հասցնելու վրա:</w:t>
      </w:r>
    </w:p>
    <w:p w14:paraId="517FD9B0" w14:textId="77777777" w:rsidR="00223BE5" w:rsidRPr="008E09C8" w:rsidRDefault="00223BE5" w:rsidP="008E09C8">
      <w:pPr>
        <w:spacing w:after="0"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ՊՄԸ-ների չփոխհատուցվող բեռի օրինակ</w:t>
      </w:r>
      <w:r w:rsidRPr="00D96D9D">
        <w:rPr>
          <w:rFonts w:ascii="GHEA Grapalat" w:hAnsi="GHEA Grapalat"/>
          <w:sz w:val="24"/>
          <w:szCs w:val="24"/>
          <w:lang w:val="hy-AM"/>
        </w:rPr>
        <w:t>նե</w:t>
      </w:r>
      <w:r w:rsidRPr="00E62261">
        <w:rPr>
          <w:rFonts w:ascii="GHEA Grapalat" w:hAnsi="GHEA Grapalat"/>
          <w:sz w:val="24"/>
          <w:szCs w:val="24"/>
          <w:lang w:val="hy-AM"/>
        </w:rPr>
        <w:t>ր են</w:t>
      </w:r>
      <w:r w:rsidRPr="008E09C8">
        <w:rPr>
          <w:rFonts w:ascii="GHEA Grapalat" w:hAnsi="GHEA Grapalat"/>
          <w:sz w:val="24"/>
          <w:szCs w:val="24"/>
          <w:lang w:val="hy-AM"/>
        </w:rPr>
        <w:t>՝</w:t>
      </w:r>
    </w:p>
    <w:p w14:paraId="37969A5A" w14:textId="77777777" w:rsidR="00223BE5" w:rsidRPr="008E09C8" w:rsidRDefault="006E201D" w:rsidP="008E09C8">
      <w:pPr>
        <w:pStyle w:val="ListParagraph"/>
        <w:numPr>
          <w:ilvl w:val="0"/>
          <w:numId w:val="26"/>
        </w:numPr>
        <w:spacing w:after="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հանրությանը կամ թիրախային խմբերին առևտրային արժեքից (ծախսերը փոխհատուցող) ցածր գներով ապրանքների և ծառայությունների մատուցում</w:t>
      </w:r>
      <w:r w:rsidRPr="008E09C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1709E73" w14:textId="77777777" w:rsidR="00223BE5" w:rsidRPr="00D96D9D" w:rsidRDefault="006E201D" w:rsidP="008E09C8">
      <w:pPr>
        <w:pStyle w:val="ListParagraph"/>
        <w:numPr>
          <w:ilvl w:val="0"/>
          <w:numId w:val="26"/>
        </w:numPr>
        <w:spacing w:after="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Կառավարության կողմից պարտադրված ոչ հիմնական գործառույթների իրականացում` ապրանքներ կամ ծառայություններ մատուցելու համար, որոնք կապված չեն ՊՄԸ-ների հիմնական գործառույթների հետ. </w:t>
      </w:r>
    </w:p>
    <w:p w14:paraId="4FF21455" w14:textId="77777777" w:rsidR="00223BE5" w:rsidRPr="00D96D9D" w:rsidRDefault="006E201D" w:rsidP="008E09C8">
      <w:pPr>
        <w:pStyle w:val="ListParagraph"/>
        <w:numPr>
          <w:ilvl w:val="0"/>
          <w:numId w:val="26"/>
        </w:numPr>
        <w:spacing w:after="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առևտրային գներից ավելի բարձր գներով ապրանքների և ծառայությունների կամ ակտիվների ձեռքբերում</w:t>
      </w:r>
      <w:r w:rsidR="00223BE5" w:rsidRPr="00D96D9D">
        <w:rPr>
          <w:rFonts w:ascii="GHEA Grapalat" w:hAnsi="GHEA Grapalat"/>
          <w:sz w:val="24"/>
          <w:szCs w:val="24"/>
          <w:lang w:val="hy-AM"/>
        </w:rPr>
        <w:t>.</w:t>
      </w:r>
    </w:p>
    <w:p w14:paraId="67EAC177" w14:textId="183B18C8" w:rsidR="006E201D" w:rsidRPr="008E09C8" w:rsidRDefault="006E201D" w:rsidP="008E09C8">
      <w:pPr>
        <w:pStyle w:val="ListParagraph"/>
        <w:numPr>
          <w:ilvl w:val="0"/>
          <w:numId w:val="26"/>
        </w:numPr>
        <w:spacing w:after="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 xml:space="preserve">բաշխման ենթակա </w:t>
      </w:r>
      <w:r w:rsidR="00137BC0">
        <w:rPr>
          <w:rFonts w:ascii="GHEA Grapalat" w:hAnsi="GHEA Grapalat"/>
          <w:sz w:val="24"/>
          <w:szCs w:val="24"/>
          <w:lang w:val="hy-AM"/>
        </w:rPr>
        <w:t>զուտ շահույթից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ավելի գումարների դուրսբերում կամ այլ տեսակի գործարքներ</w:t>
      </w:r>
      <w:r w:rsidR="002A1FD3">
        <w:rPr>
          <w:rFonts w:ascii="GHEA Grapalat" w:hAnsi="GHEA Grapalat"/>
          <w:sz w:val="24"/>
          <w:szCs w:val="24"/>
          <w:lang w:val="hy-AM"/>
        </w:rPr>
        <w:t>:</w:t>
      </w:r>
    </w:p>
    <w:p w14:paraId="5123B50A" w14:textId="77777777" w:rsidR="006E201D" w:rsidRPr="00D96D9D" w:rsidRDefault="006E201D" w:rsidP="008E09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2989D728" w14:textId="2CAB2170" w:rsidR="00AC55BF" w:rsidRPr="008E09C8" w:rsidRDefault="00AC55BF" w:rsidP="008E09C8">
      <w:pPr>
        <w:spacing w:line="276" w:lineRule="auto"/>
        <w:rPr>
          <w:rFonts w:ascii="GHEA Grapalat" w:hAnsi="GHEA Grapalat"/>
          <w:b/>
          <w:i/>
          <w:sz w:val="24"/>
          <w:lang w:val="hy-AM"/>
        </w:rPr>
      </w:pPr>
      <w:r w:rsidRPr="008E09C8">
        <w:rPr>
          <w:rFonts w:ascii="GHEA Grapalat" w:hAnsi="GHEA Grapalat"/>
          <w:b/>
          <w:i/>
          <w:sz w:val="24"/>
          <w:lang w:val="hy-AM"/>
        </w:rPr>
        <w:t xml:space="preserve">Ինստիտուցիոնալ կառուցվածքը և </w:t>
      </w:r>
      <w:r w:rsidR="00223BE5" w:rsidRPr="008E09C8">
        <w:rPr>
          <w:rFonts w:ascii="GHEA Grapalat" w:hAnsi="GHEA Grapalat"/>
          <w:b/>
          <w:i/>
          <w:sz w:val="24"/>
          <w:lang w:val="hy-AM"/>
        </w:rPr>
        <w:t>դերերը</w:t>
      </w:r>
    </w:p>
    <w:p w14:paraId="26A8B502" w14:textId="4C6BF575" w:rsidR="00FE2EE6" w:rsidRPr="008E09C8" w:rsidRDefault="00906D9D" w:rsidP="00AC55BF">
      <w:pPr>
        <w:spacing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8E09C8">
        <w:rPr>
          <w:rFonts w:ascii="GHEA Grapalat" w:hAnsi="GHEA Grapalat"/>
          <w:sz w:val="24"/>
          <w:szCs w:val="24"/>
          <w:u w:val="single"/>
          <w:lang w:val="hy-AM"/>
        </w:rPr>
        <w:t xml:space="preserve">ՀՀ </w:t>
      </w:r>
      <w:r w:rsidR="0048491B" w:rsidRPr="008E09C8">
        <w:rPr>
          <w:rFonts w:ascii="GHEA Grapalat" w:hAnsi="GHEA Grapalat"/>
          <w:sz w:val="24"/>
          <w:szCs w:val="24"/>
          <w:u w:val="single"/>
          <w:lang w:val="hy-AM"/>
        </w:rPr>
        <w:t>ֆինանսների նախարարության</w:t>
      </w:r>
      <w:r w:rsidRPr="008E09C8">
        <w:rPr>
          <w:rFonts w:ascii="GHEA Grapalat" w:hAnsi="GHEA Grapalat"/>
          <w:sz w:val="24"/>
          <w:szCs w:val="24"/>
          <w:u w:val="single"/>
          <w:lang w:val="hy-AM"/>
        </w:rPr>
        <w:t xml:space="preserve"> դերը</w:t>
      </w:r>
    </w:p>
    <w:p w14:paraId="3134C6AC" w14:textId="53A83511" w:rsidR="00FE2EE6" w:rsidRPr="00E62261" w:rsidRDefault="00C2168C" w:rsidP="008E09C8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ՖՆ</w:t>
      </w:r>
      <w:r w:rsidR="009C4B05">
        <w:rPr>
          <w:rFonts w:ascii="GHEA Grapalat" w:hAnsi="GHEA Grapalat"/>
          <w:sz w:val="24"/>
          <w:szCs w:val="24"/>
          <w:lang w:val="hy-AM"/>
        </w:rPr>
        <w:t>-ն</w:t>
      </w:r>
      <w:r w:rsidR="00FE2EE6" w:rsidRPr="00D96D9D">
        <w:rPr>
          <w:rFonts w:ascii="GHEA Grapalat" w:hAnsi="GHEA Grapalat"/>
          <w:sz w:val="24"/>
          <w:szCs w:val="24"/>
          <w:lang w:val="hy-AM"/>
        </w:rPr>
        <w:t xml:space="preserve"> ներկայումս իրականացնո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>ւմ է ՊՄԸ-ների</w:t>
      </w:r>
      <w:r w:rsidR="00654C77" w:rsidRPr="00E62261">
        <w:rPr>
          <w:rFonts w:ascii="GHEA Grapalat" w:hAnsi="GHEA Grapalat"/>
          <w:sz w:val="24"/>
          <w:szCs w:val="24"/>
          <w:lang w:val="hy-AM"/>
        </w:rPr>
        <w:t>ց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B05">
        <w:rPr>
          <w:rFonts w:ascii="GHEA Grapalat" w:hAnsi="GHEA Grapalat"/>
          <w:sz w:val="24"/>
          <w:szCs w:val="24"/>
          <w:lang w:val="hy-AM"/>
        </w:rPr>
        <w:t>բխող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ֆիսկալ ռիսկերի մշտադիտարկում և հաշվետվությունների պատրաստում, սակայն ռիսկերի կառավարման և մեղմացման գործառույթը արդյունավետ դարձնելու համար, ՖՆ-ի դերը պետք է ընդլայնվի</w:t>
      </w:r>
      <w:r w:rsidR="00223BE5" w:rsidRPr="00E62261">
        <w:rPr>
          <w:rFonts w:ascii="GHEA Grapalat" w:hAnsi="GHEA Grapalat"/>
          <w:sz w:val="24"/>
          <w:szCs w:val="24"/>
          <w:lang w:val="hy-AM"/>
        </w:rPr>
        <w:t xml:space="preserve"> հետևյալ ուղղություններով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>՝</w:t>
      </w:r>
    </w:p>
    <w:p w14:paraId="50B6901F" w14:textId="11EB0D5D" w:rsidR="00FE2EE6" w:rsidRPr="00E62261" w:rsidRDefault="009C4B05" w:rsidP="008E09C8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915B37" w:rsidRPr="00E62261">
        <w:rPr>
          <w:rFonts w:ascii="GHEA Grapalat" w:hAnsi="GHEA Grapalat"/>
          <w:sz w:val="24"/>
          <w:szCs w:val="24"/>
          <w:lang w:val="hy-AM"/>
        </w:rPr>
        <w:t>րկարաժ</w:t>
      </w:r>
      <w:r w:rsidR="00223BE5" w:rsidRPr="00E62261">
        <w:rPr>
          <w:rFonts w:ascii="GHEA Grapalat" w:hAnsi="GHEA Grapalat"/>
          <w:sz w:val="24"/>
          <w:szCs w:val="24"/>
          <w:lang w:val="hy-AM"/>
        </w:rPr>
        <w:t>ա</w:t>
      </w:r>
      <w:r w:rsidR="00915B37" w:rsidRPr="00E62261">
        <w:rPr>
          <w:rFonts w:ascii="GHEA Grapalat" w:hAnsi="GHEA Grapalat"/>
          <w:sz w:val="24"/>
          <w:szCs w:val="24"/>
          <w:lang w:val="hy-AM"/>
        </w:rPr>
        <w:t>մկետ</w:t>
      </w:r>
      <w:r w:rsidR="006A18D6" w:rsidRPr="00E62261">
        <w:rPr>
          <w:rFonts w:ascii="GHEA Grapalat" w:hAnsi="GHEA Grapalat"/>
          <w:sz w:val="24"/>
          <w:szCs w:val="24"/>
          <w:lang w:val="hy-AM"/>
        </w:rPr>
        <w:t xml:space="preserve"> ֆինանսական կայուն</w:t>
      </w:r>
      <w:r w:rsidR="00223BE5" w:rsidRPr="00E62261">
        <w:rPr>
          <w:rFonts w:ascii="GHEA Grapalat" w:hAnsi="GHEA Grapalat"/>
          <w:sz w:val="24"/>
          <w:szCs w:val="24"/>
          <w:lang w:val="hy-AM"/>
        </w:rPr>
        <w:t>ու</w:t>
      </w:r>
      <w:r w:rsidR="006A18D6" w:rsidRPr="00E62261">
        <w:rPr>
          <w:rFonts w:ascii="GHEA Grapalat" w:hAnsi="GHEA Grapalat"/>
          <w:sz w:val="24"/>
          <w:szCs w:val="24"/>
          <w:lang w:val="hy-AM"/>
        </w:rPr>
        <w:t>թյան թիրախների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B37" w:rsidRPr="00E62261">
        <w:rPr>
          <w:rFonts w:ascii="GHEA Grapalat" w:hAnsi="GHEA Grapalat"/>
          <w:sz w:val="24"/>
          <w:szCs w:val="24"/>
          <w:lang w:val="hy-AM"/>
        </w:rPr>
        <w:t>սահմանում</w:t>
      </w:r>
      <w:r w:rsidR="00FA2E67" w:rsidRPr="00E62261">
        <w:rPr>
          <w:rFonts w:ascii="GHEA Grapalat" w:hAnsi="GHEA Grapalat"/>
          <w:sz w:val="24"/>
          <w:szCs w:val="24"/>
          <w:lang w:val="hy-AM"/>
        </w:rPr>
        <w:t>,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C3D4B9" w14:textId="64FC7BCA" w:rsidR="00FE2EE6" w:rsidRPr="00E62261" w:rsidRDefault="009C4B05" w:rsidP="008E09C8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>ուդիտի նվազագույն պահանջների սահմանում</w:t>
      </w:r>
      <w:r w:rsidR="00FA2E67" w:rsidRPr="00E62261">
        <w:rPr>
          <w:rFonts w:ascii="GHEA Grapalat" w:hAnsi="GHEA Grapalat"/>
          <w:sz w:val="24"/>
          <w:szCs w:val="24"/>
          <w:lang w:val="hy-AM"/>
        </w:rPr>
        <w:t>,</w:t>
      </w:r>
    </w:p>
    <w:p w14:paraId="21C4806B" w14:textId="497925F1" w:rsidR="00FE2EE6" w:rsidRPr="00E62261" w:rsidRDefault="009C4B05" w:rsidP="008E09C8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>ասնակցություն ՊՄԸ</w:t>
      </w:r>
      <w:r w:rsidR="005570D6" w:rsidRPr="00E62261">
        <w:rPr>
          <w:rFonts w:ascii="GHEA Grapalat" w:hAnsi="GHEA Grapalat"/>
          <w:sz w:val="24"/>
          <w:szCs w:val="24"/>
          <w:lang w:val="hy-AM"/>
        </w:rPr>
        <w:t>-ների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էական գործարքների վերաբերյալ որոշումների</w:t>
      </w:r>
      <w:r w:rsidR="00223BE5" w:rsidRPr="00E62261">
        <w:rPr>
          <w:rFonts w:ascii="GHEA Grapalat" w:hAnsi="GHEA Grapalat"/>
          <w:sz w:val="24"/>
          <w:szCs w:val="24"/>
          <w:lang w:val="hy-AM"/>
        </w:rPr>
        <w:t xml:space="preserve"> կայացմանը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(վարկեր, ակտիվների օտարումներ</w:t>
      </w:r>
      <w:r w:rsidR="00223BE5" w:rsidRPr="00E62261">
        <w:rPr>
          <w:rFonts w:ascii="GHEA Grapalat" w:hAnsi="GHEA Grapalat"/>
          <w:sz w:val="24"/>
          <w:szCs w:val="24"/>
          <w:lang w:val="hy-AM"/>
        </w:rPr>
        <w:t>,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ձեռքբերումներ</w:t>
      </w:r>
      <w:r w:rsidR="00223BE5" w:rsidRPr="00E62261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>)</w:t>
      </w:r>
      <w:r w:rsidR="00FA2E67" w:rsidRPr="00E62261">
        <w:rPr>
          <w:rFonts w:ascii="GHEA Grapalat" w:hAnsi="GHEA Grapalat"/>
          <w:sz w:val="24"/>
          <w:szCs w:val="24"/>
          <w:lang w:val="hy-AM"/>
        </w:rPr>
        <w:t>,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7F6017" w14:textId="06E41BC5" w:rsidR="00FE2EE6" w:rsidRPr="00E62261" w:rsidRDefault="009C4B05" w:rsidP="008E09C8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 xml:space="preserve">ասնակցություն </w:t>
      </w:r>
      <w:r w:rsidR="00FD6A8E">
        <w:rPr>
          <w:rFonts w:ascii="GHEA Grapalat" w:hAnsi="GHEA Grapalat"/>
          <w:sz w:val="24"/>
          <w:szCs w:val="24"/>
          <w:lang w:val="hy-AM"/>
        </w:rPr>
        <w:t>սեփականության</w:t>
      </w:r>
      <w:r w:rsidR="00FD6A8E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EE6" w:rsidRPr="00E62261">
        <w:rPr>
          <w:rFonts w:ascii="GHEA Grapalat" w:hAnsi="GHEA Grapalat"/>
          <w:sz w:val="24"/>
          <w:szCs w:val="24"/>
          <w:lang w:val="hy-AM"/>
        </w:rPr>
        <w:t>քաղաքականության և ուղեցույցների մշակմանը</w:t>
      </w:r>
      <w:r w:rsidR="00FA2E67" w:rsidRPr="00E62261">
        <w:rPr>
          <w:rFonts w:ascii="GHEA Grapalat" w:hAnsi="GHEA Grapalat"/>
          <w:sz w:val="24"/>
          <w:szCs w:val="24"/>
          <w:lang w:val="hy-AM"/>
        </w:rPr>
        <w:t>,</w:t>
      </w:r>
    </w:p>
    <w:p w14:paraId="66174B18" w14:textId="5963B542" w:rsidR="00FE2EE6" w:rsidRPr="00E62261" w:rsidRDefault="00FE2EE6" w:rsidP="008E09C8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/>
          <w:sz w:val="24"/>
          <w:szCs w:val="24"/>
          <w:lang w:val="hy-AM"/>
        </w:rPr>
        <w:t xml:space="preserve">Կառավարության համար ՊՄԸ-ներից ծագող ֆիսկալ ռիսկերի </w:t>
      </w:r>
      <w:r w:rsidR="00915B37" w:rsidRPr="00E62261">
        <w:rPr>
          <w:rFonts w:ascii="GHEA Grapalat" w:hAnsi="GHEA Grapalat"/>
          <w:sz w:val="24"/>
          <w:szCs w:val="24"/>
          <w:lang w:val="hy-AM"/>
        </w:rPr>
        <w:t>գնահատման և կառավար</w:t>
      </w:r>
      <w:r w:rsidR="001B5ADD">
        <w:rPr>
          <w:rFonts w:ascii="GHEA Grapalat" w:hAnsi="GHEA Grapalat"/>
          <w:sz w:val="24"/>
          <w:szCs w:val="24"/>
          <w:lang w:val="hy-AM"/>
        </w:rPr>
        <w:t>չական</w:t>
      </w:r>
      <w:r w:rsidR="00915B37" w:rsidRPr="00E62261">
        <w:rPr>
          <w:rFonts w:ascii="GHEA Grapalat" w:hAnsi="GHEA Grapalat"/>
          <w:sz w:val="24"/>
          <w:szCs w:val="24"/>
          <w:lang w:val="hy-AM"/>
        </w:rPr>
        <w:t xml:space="preserve"> հաշվետվությունների մշակում</w:t>
      </w:r>
      <w:r w:rsidR="00122DF8" w:rsidRPr="00E62261">
        <w:rPr>
          <w:rFonts w:ascii="GHEA Grapalat" w:hAnsi="GHEA Grapalat"/>
          <w:sz w:val="24"/>
          <w:szCs w:val="24"/>
          <w:lang w:val="hy-AM"/>
        </w:rPr>
        <w:t>:</w:t>
      </w:r>
      <w:r w:rsidR="00915B37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EF11B3" w14:textId="77777777" w:rsidR="001D67DF" w:rsidRPr="00E62261" w:rsidRDefault="001D67DF" w:rsidP="001D67DF">
      <w:pPr>
        <w:spacing w:line="27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92B90A5" w14:textId="14AD1443" w:rsidR="00543132" w:rsidRPr="008E09C8" w:rsidRDefault="00C06331" w:rsidP="008E09C8">
      <w:pPr>
        <w:spacing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8E09C8">
        <w:rPr>
          <w:rFonts w:ascii="GHEA Grapalat" w:hAnsi="GHEA Grapalat"/>
          <w:sz w:val="24"/>
          <w:szCs w:val="24"/>
          <w:u w:val="single"/>
          <w:lang w:val="hy-AM"/>
        </w:rPr>
        <w:t>Համակարգող</w:t>
      </w:r>
      <w:r w:rsidR="00906D9D" w:rsidRPr="008E09C8">
        <w:rPr>
          <w:rFonts w:ascii="GHEA Grapalat" w:hAnsi="GHEA Grapalat"/>
          <w:sz w:val="24"/>
          <w:szCs w:val="24"/>
          <w:u w:val="single"/>
          <w:lang w:val="hy-AM"/>
        </w:rPr>
        <w:t xml:space="preserve"> մարմ</w:t>
      </w:r>
      <w:r w:rsidR="007E2892" w:rsidRPr="008E09C8">
        <w:rPr>
          <w:rFonts w:ascii="GHEA Grapalat" w:hAnsi="GHEA Grapalat"/>
          <w:sz w:val="24"/>
          <w:szCs w:val="24"/>
          <w:u w:val="single"/>
          <w:lang w:val="hy-AM"/>
        </w:rPr>
        <w:t>նի դերը</w:t>
      </w:r>
    </w:p>
    <w:p w14:paraId="2FC70C73" w14:textId="4ECF351A" w:rsidR="0040780C" w:rsidRPr="008E09C8" w:rsidRDefault="00503296" w:rsidP="008E09C8">
      <w:pPr>
        <w:spacing w:line="276" w:lineRule="auto"/>
        <w:ind w:firstLine="360"/>
        <w:jc w:val="both"/>
        <w:rPr>
          <w:rFonts w:ascii="Cambria Math" w:hAnsi="Cambria Math"/>
          <w:bCs/>
          <w:sz w:val="24"/>
          <w:szCs w:val="24"/>
          <w:lang w:val="hy-AM"/>
        </w:rPr>
      </w:pPr>
      <w:r w:rsidRPr="00D96D9D">
        <w:rPr>
          <w:rFonts w:ascii="GHEA Grapalat" w:hAnsi="GHEA Grapalat"/>
          <w:bCs/>
          <w:sz w:val="24"/>
          <w:szCs w:val="24"/>
          <w:lang w:val="hy-AM"/>
        </w:rPr>
        <w:t>Հա</w:t>
      </w:r>
      <w:r w:rsidRPr="00E62261">
        <w:rPr>
          <w:rFonts w:ascii="GHEA Grapalat" w:hAnsi="GHEA Grapalat"/>
          <w:bCs/>
          <w:sz w:val="24"/>
          <w:szCs w:val="24"/>
          <w:lang w:val="hy-AM"/>
        </w:rPr>
        <w:t xml:space="preserve">մակարգող լիազոր </w:t>
      </w:r>
      <w:r w:rsidR="0040780C" w:rsidRPr="00E62261">
        <w:rPr>
          <w:rFonts w:ascii="GHEA Grapalat" w:hAnsi="GHEA Grapalat"/>
          <w:bCs/>
          <w:sz w:val="24"/>
          <w:szCs w:val="24"/>
          <w:lang w:val="hy-AM"/>
        </w:rPr>
        <w:t xml:space="preserve">մարմինը պետք է իրականցնի երկու առանցքային </w:t>
      </w:r>
      <w:r w:rsidRPr="00E62261">
        <w:rPr>
          <w:rFonts w:ascii="GHEA Grapalat" w:hAnsi="GHEA Grapalat"/>
          <w:bCs/>
          <w:sz w:val="24"/>
          <w:szCs w:val="24"/>
          <w:lang w:val="hy-AM"/>
        </w:rPr>
        <w:t>գործառույթ</w:t>
      </w:r>
      <w:r w:rsidRPr="00E62261">
        <w:rPr>
          <w:rFonts w:ascii="Cambria Math" w:hAnsi="Cambria Math"/>
          <w:bCs/>
          <w:sz w:val="24"/>
          <w:szCs w:val="24"/>
          <w:lang w:val="hy-AM"/>
        </w:rPr>
        <w:t>․</w:t>
      </w:r>
    </w:p>
    <w:p w14:paraId="5E1AF8AB" w14:textId="469D2D55" w:rsidR="0040780C" w:rsidRPr="00E62261" w:rsidRDefault="0040780C" w:rsidP="008E09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6D9D">
        <w:rPr>
          <w:rFonts w:ascii="GHEA Grapalat" w:hAnsi="GHEA Grapalat"/>
          <w:bCs/>
          <w:sz w:val="24"/>
          <w:szCs w:val="24"/>
          <w:lang w:val="hy-AM"/>
        </w:rPr>
        <w:t>Առևտրային</w:t>
      </w:r>
      <w:r w:rsidR="00EF25D7" w:rsidRPr="00D96D9D">
        <w:rPr>
          <w:rFonts w:ascii="GHEA Grapalat" w:hAnsi="GHEA Grapalat"/>
          <w:bCs/>
          <w:sz w:val="24"/>
          <w:szCs w:val="24"/>
          <w:lang w:val="hy-AM"/>
        </w:rPr>
        <w:t xml:space="preserve"> նպատակ </w:t>
      </w:r>
      <w:r w:rsidR="009C4B05" w:rsidRPr="00E62261">
        <w:rPr>
          <w:rFonts w:ascii="GHEA Grapalat" w:hAnsi="GHEA Grapalat"/>
          <w:bCs/>
          <w:sz w:val="24"/>
          <w:szCs w:val="24"/>
          <w:lang w:val="hy-AM"/>
        </w:rPr>
        <w:t>հետապնդող</w:t>
      </w:r>
      <w:r w:rsidR="009C4B0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F25D7" w:rsidRPr="00D96D9D">
        <w:rPr>
          <w:rFonts w:ascii="GHEA Grapalat" w:hAnsi="GHEA Grapalat"/>
          <w:bCs/>
          <w:sz w:val="24"/>
          <w:szCs w:val="24"/>
          <w:lang w:val="hy-AM"/>
        </w:rPr>
        <w:t>ՊՄԸ–ների</w:t>
      </w:r>
      <w:r w:rsidRPr="00D96D9D">
        <w:rPr>
          <w:rFonts w:ascii="GHEA Grapalat" w:hAnsi="GHEA Grapalat"/>
          <w:bCs/>
          <w:sz w:val="24"/>
          <w:szCs w:val="24"/>
          <w:lang w:val="hy-AM"/>
        </w:rPr>
        <w:t xml:space="preserve"> դեպքում սեփականության իրավունքի ուղղակի իրացում</w:t>
      </w:r>
      <w:r w:rsidR="002C1B2F" w:rsidRPr="00E62261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4045CE13" w14:textId="2A71D15F" w:rsidR="0040780C" w:rsidRPr="00E62261" w:rsidRDefault="00EF25D7" w:rsidP="008E09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62261">
        <w:rPr>
          <w:rFonts w:ascii="GHEA Grapalat" w:hAnsi="GHEA Grapalat"/>
          <w:bCs/>
          <w:sz w:val="24"/>
          <w:szCs w:val="24"/>
          <w:lang w:val="hy-AM"/>
        </w:rPr>
        <w:t>Հանրային նպատակ հետապնդող</w:t>
      </w:r>
      <w:r w:rsidR="009C4B0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/>
          <w:bCs/>
          <w:sz w:val="24"/>
          <w:szCs w:val="24"/>
          <w:lang w:val="hy-AM"/>
        </w:rPr>
        <w:t xml:space="preserve">ՊՄԸ–ների դեպքում </w:t>
      </w:r>
      <w:r w:rsidR="001E7BA6" w:rsidRPr="00E62261">
        <w:rPr>
          <w:rFonts w:ascii="GHEA Grapalat" w:hAnsi="GHEA Grapalat"/>
          <w:bCs/>
          <w:sz w:val="24"/>
          <w:szCs w:val="24"/>
          <w:lang w:val="hy-AM"/>
        </w:rPr>
        <w:t xml:space="preserve">նախատեսվող </w:t>
      </w:r>
      <w:r w:rsidRPr="00E62261">
        <w:rPr>
          <w:rFonts w:ascii="GHEA Grapalat" w:hAnsi="GHEA Grapalat"/>
          <w:bCs/>
          <w:sz w:val="24"/>
          <w:szCs w:val="24"/>
          <w:lang w:val="hy-AM"/>
        </w:rPr>
        <w:t>քաղաքականության իրականացման ապահովում</w:t>
      </w:r>
      <w:r w:rsidR="00382371" w:rsidRPr="00E62261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27179B9A" w14:textId="386DF4EB" w:rsidR="00EF25D7" w:rsidRPr="00E62261" w:rsidRDefault="00EF25D7" w:rsidP="008E09C8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մշակման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գործառույթ</w:t>
      </w:r>
      <w:r w:rsidR="001E7BA6" w:rsidRPr="00E62261">
        <w:rPr>
          <w:rFonts w:ascii="GHEA Grapalat" w:hAnsi="GHEA Grapalat"/>
          <w:sz w:val="24"/>
          <w:szCs w:val="24"/>
          <w:lang w:val="hy-AM"/>
        </w:rPr>
        <w:t>ը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սեփականության/կառավարման գործառույթից տարանջատ</w:t>
      </w:r>
      <w:r w:rsidR="001E7BA6" w:rsidRPr="00E62261">
        <w:rPr>
          <w:rFonts w:ascii="GHEA Grapalat" w:hAnsi="GHEA Grapalat"/>
          <w:sz w:val="24"/>
          <w:szCs w:val="24"/>
          <w:lang w:val="hy-AM"/>
        </w:rPr>
        <w:t>ելու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համար ՊՄԸ–ների կառավարուման համակարգումն անհրաժեշտ է իրականացնել </w:t>
      </w:r>
      <w:r w:rsidR="001E7BA6" w:rsidRPr="00D96D9D">
        <w:rPr>
          <w:rFonts w:ascii="GHEA Grapalat" w:hAnsi="GHEA Grapalat"/>
          <w:sz w:val="24"/>
          <w:szCs w:val="24"/>
          <w:lang w:val="hy-AM"/>
        </w:rPr>
        <w:t>հա</w:t>
      </w:r>
      <w:r w:rsidR="001E7BA6" w:rsidRPr="00E62261">
        <w:rPr>
          <w:rFonts w:ascii="GHEA Grapalat" w:hAnsi="GHEA Grapalat"/>
          <w:sz w:val="24"/>
          <w:szCs w:val="24"/>
          <w:lang w:val="hy-AM"/>
        </w:rPr>
        <w:t xml:space="preserve">մակարգող 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մարմնի և </w:t>
      </w:r>
      <w:r w:rsidR="001E7BA6" w:rsidRPr="00E62261">
        <w:rPr>
          <w:rFonts w:ascii="GHEA Grapalat" w:hAnsi="GHEA Grapalat"/>
          <w:sz w:val="24"/>
          <w:szCs w:val="24"/>
          <w:lang w:val="hy-AM"/>
        </w:rPr>
        <w:t xml:space="preserve">ոլորտային </w:t>
      </w:r>
      <w:r w:rsidRPr="00E62261">
        <w:rPr>
          <w:rFonts w:ascii="GHEA Grapalat" w:hAnsi="GHEA Grapalat"/>
          <w:sz w:val="24"/>
          <w:szCs w:val="24"/>
          <w:lang w:val="hy-AM"/>
        </w:rPr>
        <w:t>նախարարությունների համագործակցությ</w:t>
      </w:r>
      <w:r w:rsidR="001E7BA6" w:rsidRPr="00E62261">
        <w:rPr>
          <w:rFonts w:ascii="GHEA Grapalat" w:hAnsi="GHEA Grapalat"/>
          <w:sz w:val="24"/>
          <w:szCs w:val="24"/>
          <w:lang w:val="hy-AM"/>
        </w:rPr>
        <w:t>ամբ</w:t>
      </w:r>
      <w:r w:rsidRPr="00E62261">
        <w:rPr>
          <w:rFonts w:ascii="GHEA Grapalat" w:hAnsi="GHEA Grapalat"/>
          <w:sz w:val="24"/>
          <w:szCs w:val="24"/>
          <w:lang w:val="hy-AM"/>
        </w:rPr>
        <w:t>:</w:t>
      </w:r>
      <w:r w:rsidR="004C70E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E103ABF" w14:textId="77777777" w:rsidR="00C06331" w:rsidRPr="00E62261" w:rsidRDefault="00C06331" w:rsidP="008E09C8">
      <w:p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5860B62" w14:textId="791D3755" w:rsidR="00765B64" w:rsidRPr="008E09C8" w:rsidRDefault="00765B64" w:rsidP="008E09C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lastRenderedPageBreak/>
        <w:t>Հ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ամակարգող </w:t>
      </w:r>
      <w:r w:rsidRPr="00D96D9D">
        <w:rPr>
          <w:rFonts w:ascii="GHEA Grapalat" w:hAnsi="GHEA Grapalat"/>
          <w:sz w:val="24"/>
          <w:szCs w:val="24"/>
          <w:lang w:val="hy-AM"/>
        </w:rPr>
        <w:t>մարմինը,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պատասխանատու է</w:t>
      </w:r>
      <w:r w:rsidR="001E7BA6" w:rsidRPr="00D96D9D">
        <w:rPr>
          <w:rFonts w:ascii="GHEA Grapalat" w:hAnsi="GHEA Grapalat"/>
          <w:sz w:val="24"/>
          <w:szCs w:val="24"/>
          <w:lang w:val="hy-AM"/>
        </w:rPr>
        <w:t>՝</w:t>
      </w:r>
    </w:p>
    <w:p w14:paraId="326F9ED8" w14:textId="253B17D1" w:rsidR="00765B64" w:rsidRPr="008E09C8" w:rsidRDefault="00765B64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սեփականության քաղաքականության կիրարկ</w:t>
      </w:r>
      <w:r w:rsidRPr="00D96D9D">
        <w:rPr>
          <w:rFonts w:ascii="GHEA Grapalat" w:hAnsi="GHEA Grapalat"/>
          <w:sz w:val="24"/>
          <w:szCs w:val="24"/>
          <w:lang w:val="hy-AM"/>
        </w:rPr>
        <w:t>ման համար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, որը կհաստատվի </w:t>
      </w:r>
      <w:r w:rsidRPr="00D96D9D">
        <w:rPr>
          <w:rFonts w:ascii="GHEA Grapalat" w:hAnsi="GHEA Grapalat"/>
          <w:sz w:val="24"/>
          <w:szCs w:val="24"/>
          <w:lang w:val="hy-AM"/>
        </w:rPr>
        <w:t>Կ</w:t>
      </w:r>
      <w:r w:rsidRPr="008E09C8">
        <w:rPr>
          <w:rFonts w:ascii="GHEA Grapalat" w:hAnsi="GHEA Grapalat"/>
          <w:sz w:val="24"/>
          <w:szCs w:val="24"/>
          <w:lang w:val="hy-AM"/>
        </w:rPr>
        <w:t>առավարության կողմից.</w:t>
      </w:r>
    </w:p>
    <w:p w14:paraId="7F2DA233" w14:textId="10A1D321" w:rsidR="00765B64" w:rsidRPr="008E09C8" w:rsidRDefault="00765B64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 xml:space="preserve">յուրաքանչյուր </w:t>
      </w:r>
      <w:r w:rsidRPr="00D96D9D">
        <w:rPr>
          <w:rFonts w:ascii="GHEA Grapalat" w:hAnsi="GHEA Grapalat"/>
          <w:sz w:val="24"/>
          <w:szCs w:val="24"/>
          <w:lang w:val="hy-AM"/>
        </w:rPr>
        <w:t>ՊՄԸ</w:t>
      </w:r>
      <w:r w:rsidRPr="008E09C8">
        <w:rPr>
          <w:rFonts w:ascii="GHEA Grapalat" w:hAnsi="GHEA Grapalat"/>
          <w:sz w:val="24"/>
          <w:szCs w:val="24"/>
          <w:lang w:val="hy-AM"/>
        </w:rPr>
        <w:t>-ի համար սեփականության նպատակների և համապատասխան հ</w:t>
      </w:r>
      <w:r w:rsidR="00961396" w:rsidRPr="008E09C8">
        <w:rPr>
          <w:rFonts w:ascii="GHEA Grapalat" w:hAnsi="GHEA Grapalat"/>
          <w:sz w:val="24"/>
          <w:szCs w:val="24"/>
          <w:lang w:val="hy-AM"/>
        </w:rPr>
        <w:t>իմնական կատարողականի ցուցիչնե</w:t>
      </w:r>
      <w:r w:rsidRPr="008E09C8">
        <w:rPr>
          <w:rFonts w:ascii="GHEA Grapalat" w:hAnsi="GHEA Grapalat"/>
          <w:sz w:val="24"/>
          <w:szCs w:val="24"/>
          <w:lang w:val="hy-AM"/>
        </w:rPr>
        <w:t>րի մշակ</w:t>
      </w:r>
      <w:r w:rsidRPr="00D96D9D">
        <w:rPr>
          <w:rFonts w:ascii="GHEA Grapalat" w:hAnsi="GHEA Grapalat"/>
          <w:sz w:val="24"/>
          <w:szCs w:val="24"/>
          <w:lang w:val="hy-AM"/>
        </w:rPr>
        <w:t>ման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և սահմանման համար</w:t>
      </w:r>
      <w:r w:rsidRPr="00D96D9D">
        <w:rPr>
          <w:rFonts w:ascii="GHEA Grapalat" w:hAnsi="GHEA Grapalat"/>
          <w:sz w:val="24"/>
          <w:szCs w:val="24"/>
          <w:lang w:val="hy-AM"/>
        </w:rPr>
        <w:t>՝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դրանք համաձայնեցնելով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ՖՆ-ի,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համապատասխան ոլորտային </w:t>
      </w:r>
      <w:r w:rsidR="00EF7F93">
        <w:rPr>
          <w:rFonts w:ascii="GHEA Grapalat" w:hAnsi="GHEA Grapalat"/>
          <w:sz w:val="24"/>
          <w:szCs w:val="24"/>
          <w:lang w:val="hy-AM"/>
        </w:rPr>
        <w:t>մարմնի</w:t>
      </w:r>
      <w:r w:rsidR="000424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6D9D">
        <w:rPr>
          <w:rFonts w:ascii="GHEA Grapalat" w:hAnsi="GHEA Grapalat"/>
          <w:sz w:val="24"/>
          <w:szCs w:val="24"/>
          <w:lang w:val="hy-AM"/>
        </w:rPr>
        <w:t>հետ</w:t>
      </w:r>
      <w:r w:rsidRPr="00D96D9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4B487A6" w14:textId="77777777" w:rsidR="00765B64" w:rsidRPr="008E09C8" w:rsidRDefault="00765B64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ՊՄԸ-ների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պորտֆելի կենտրոնացված վերահսկողության և կատարողականի մոնիտորինգի իրականացմ</w:t>
      </w:r>
      <w:r w:rsidRPr="00D96D9D">
        <w:rPr>
          <w:rFonts w:ascii="GHEA Grapalat" w:hAnsi="GHEA Grapalat"/>
          <w:sz w:val="24"/>
          <w:szCs w:val="24"/>
          <w:lang w:val="hy-AM"/>
        </w:rPr>
        <w:t>ան համար</w:t>
      </w:r>
      <w:r w:rsidRPr="008E09C8">
        <w:rPr>
          <w:rFonts w:ascii="GHEA Grapalat" w:hAnsi="GHEA Grapalat"/>
          <w:sz w:val="24"/>
          <w:szCs w:val="24"/>
          <w:lang w:val="hy-AM"/>
        </w:rPr>
        <w:t>.</w:t>
      </w:r>
    </w:p>
    <w:p w14:paraId="6CC4AE5D" w14:textId="77777777" w:rsidR="00765B64" w:rsidRPr="008E09C8" w:rsidRDefault="00765B64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 xml:space="preserve">ՊՄԸ-ների խորհրդում թեկնածունների 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առաջարկության 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E09C8">
        <w:rPr>
          <w:rFonts w:ascii="GHEA Grapalat" w:hAnsi="GHEA Grapalat"/>
          <w:sz w:val="24"/>
          <w:szCs w:val="24"/>
          <w:lang w:val="hy-AM"/>
        </w:rPr>
        <w:t>ընտրությ</w:t>
      </w:r>
      <w:r w:rsidRPr="00D96D9D">
        <w:rPr>
          <w:rFonts w:ascii="GHEA Grapalat" w:hAnsi="GHEA Grapalat"/>
          <w:sz w:val="24"/>
          <w:szCs w:val="24"/>
          <w:lang w:val="hy-AM"/>
        </w:rPr>
        <w:t>ա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D96D9D">
        <w:rPr>
          <w:rFonts w:ascii="GHEA Grapalat" w:hAnsi="GHEA Grapalat"/>
          <w:sz w:val="24"/>
          <w:szCs w:val="24"/>
          <w:lang w:val="hy-AM"/>
        </w:rPr>
        <w:t>համար</w:t>
      </w:r>
      <w:r w:rsidRPr="008E09C8">
        <w:rPr>
          <w:rFonts w:ascii="GHEA Grapalat" w:hAnsi="GHEA Grapalat"/>
          <w:sz w:val="24"/>
          <w:szCs w:val="24"/>
          <w:lang w:val="hy-AM"/>
        </w:rPr>
        <w:t>.</w:t>
      </w:r>
    </w:p>
    <w:p w14:paraId="5062156D" w14:textId="345712D5" w:rsidR="00765B64" w:rsidRPr="008E09C8" w:rsidRDefault="00765B64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ՊՄԸ-ների կողմից կ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որպորատիվ կառավարման </w:t>
      </w:r>
      <w:r w:rsidR="00B36291">
        <w:rPr>
          <w:rFonts w:ascii="GHEA Grapalat" w:hAnsi="GHEA Grapalat"/>
          <w:sz w:val="24"/>
          <w:szCs w:val="24"/>
          <w:lang w:val="hy-AM"/>
        </w:rPr>
        <w:t>կանոնագրքի</w:t>
      </w:r>
      <w:r w:rsidR="000424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9C8">
        <w:rPr>
          <w:rFonts w:ascii="GHEA Grapalat" w:hAnsi="GHEA Grapalat"/>
          <w:sz w:val="24"/>
          <w:szCs w:val="24"/>
          <w:lang w:val="hy-AM"/>
        </w:rPr>
        <w:t>կիրառ</w:t>
      </w:r>
      <w:r w:rsidRPr="00D96D9D">
        <w:rPr>
          <w:rFonts w:ascii="GHEA Grapalat" w:hAnsi="GHEA Grapalat"/>
          <w:sz w:val="24"/>
          <w:szCs w:val="24"/>
          <w:lang w:val="hy-AM"/>
        </w:rPr>
        <w:t>ման համար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՝ բոլոր </w:t>
      </w:r>
      <w:r w:rsidRPr="00D96D9D">
        <w:rPr>
          <w:rFonts w:ascii="GHEA Grapalat" w:hAnsi="GHEA Grapalat"/>
          <w:sz w:val="24"/>
          <w:szCs w:val="24"/>
          <w:lang w:val="hy-AM"/>
        </w:rPr>
        <w:t>ՊՄԸ-ներում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ապահովելով համապատասխան միասնական կորպորատիվ կառավարման կանոններ և </w:t>
      </w:r>
      <w:r w:rsidRPr="00D96D9D">
        <w:rPr>
          <w:rFonts w:ascii="GHEA Grapalat" w:hAnsi="GHEA Grapalat"/>
          <w:sz w:val="24"/>
          <w:szCs w:val="24"/>
          <w:lang w:val="hy-AM"/>
        </w:rPr>
        <w:t>փորձ</w:t>
      </w:r>
      <w:r w:rsidRPr="00D96D9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2C9688F" w14:textId="5D7E47C5" w:rsidR="001E7BA6" w:rsidRPr="008E09C8" w:rsidRDefault="001E7BA6" w:rsidP="001E7BA6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զուտ առևտրային նպատակներ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E62261">
        <w:rPr>
          <w:rFonts w:ascii="GHEA Grapalat" w:hAnsi="GHEA Grapalat"/>
          <w:sz w:val="24"/>
          <w:szCs w:val="24"/>
          <w:lang w:val="hy-AM"/>
        </w:rPr>
        <w:t>նեցող ՊՄԸ</w:t>
      </w:r>
      <w:r w:rsidRPr="008E09C8">
        <w:rPr>
          <w:rFonts w:ascii="GHEA Grapalat" w:hAnsi="GHEA Grapalat"/>
          <w:sz w:val="24"/>
          <w:szCs w:val="24"/>
          <w:lang w:val="hy-AM"/>
        </w:rPr>
        <w:t>-ներ</w:t>
      </w:r>
      <w:r w:rsidRPr="00D96D9D">
        <w:rPr>
          <w:rFonts w:ascii="GHEA Grapalat" w:hAnsi="GHEA Grapalat"/>
          <w:sz w:val="24"/>
          <w:szCs w:val="24"/>
          <w:lang w:val="hy-AM"/>
        </w:rPr>
        <w:t>ից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մինորիտար բաժնեմասն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ակցությամբ մասնավոր ընկերություններից </w:t>
      </w:r>
      <w:r w:rsidRPr="008E09C8">
        <w:rPr>
          <w:rFonts w:ascii="GHEA Grapalat" w:hAnsi="GHEA Grapalat"/>
          <w:sz w:val="24"/>
          <w:szCs w:val="24"/>
          <w:lang w:val="hy-AM"/>
        </w:rPr>
        <w:t>դուրս գալու պլան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8E09C8">
        <w:rPr>
          <w:rFonts w:ascii="GHEA Grapalat" w:hAnsi="GHEA Grapalat"/>
          <w:sz w:val="24"/>
          <w:szCs w:val="24"/>
          <w:lang w:val="hy-AM"/>
        </w:rPr>
        <w:t>մշակման և վերահսկ</w:t>
      </w:r>
      <w:r w:rsidRPr="00D96D9D">
        <w:rPr>
          <w:rFonts w:ascii="GHEA Grapalat" w:hAnsi="GHEA Grapalat"/>
          <w:sz w:val="24"/>
          <w:szCs w:val="24"/>
          <w:lang w:val="hy-AM"/>
        </w:rPr>
        <w:t>ման համար</w:t>
      </w:r>
      <w:r w:rsidRPr="008E09C8">
        <w:rPr>
          <w:rFonts w:ascii="GHEA Grapalat" w:hAnsi="GHEA Grapalat"/>
          <w:sz w:val="24"/>
          <w:szCs w:val="24"/>
          <w:lang w:val="hy-AM"/>
        </w:rPr>
        <w:t>.</w:t>
      </w:r>
    </w:p>
    <w:p w14:paraId="23BD0381" w14:textId="5CE9A0D4" w:rsidR="001E7BA6" w:rsidRPr="008E09C8" w:rsidRDefault="001E7BA6" w:rsidP="001E7BA6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ապահովել</w:t>
      </w:r>
      <w:r w:rsidR="009C4B05">
        <w:rPr>
          <w:rFonts w:ascii="GHEA Grapalat" w:hAnsi="GHEA Grapalat"/>
          <w:sz w:val="24"/>
          <w:szCs w:val="24"/>
          <w:lang w:val="hy-AM"/>
        </w:rPr>
        <w:t>ու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, որ ոչ մի նոր </w:t>
      </w:r>
      <w:r w:rsidRPr="00D96D9D">
        <w:rPr>
          <w:rFonts w:ascii="GHEA Grapalat" w:hAnsi="GHEA Grapalat"/>
          <w:sz w:val="24"/>
          <w:szCs w:val="24"/>
          <w:lang w:val="hy-AM"/>
        </w:rPr>
        <w:t>ՊՄԸ-ն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չի ստեղծվի, բացառությամբ այն դեպքերի, երբ դա նախատեսված է սեփականության քաղաքականությամբ և 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հաստատվում է ՀՀ 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վարչապետի, ՖՆ-ի և </w:t>
      </w:r>
      <w:r w:rsidR="00E62261" w:rsidRPr="00D96D9D">
        <w:rPr>
          <w:rFonts w:ascii="GHEA Grapalat" w:hAnsi="GHEA Grapalat"/>
          <w:sz w:val="24"/>
          <w:szCs w:val="24"/>
          <w:lang w:val="hy-AM"/>
        </w:rPr>
        <w:t>համակարգող մարմնի</w:t>
      </w:r>
      <w:r w:rsidR="00E62261" w:rsidRPr="008E09C8">
        <w:rPr>
          <w:rFonts w:ascii="GHEA Grapalat" w:hAnsi="GHEA Grapalat"/>
          <w:sz w:val="24"/>
          <w:szCs w:val="24"/>
          <w:lang w:val="hy-AM"/>
        </w:rPr>
        <w:t xml:space="preserve"> կողմից․</w:t>
      </w:r>
    </w:p>
    <w:p w14:paraId="253C1F44" w14:textId="44B907CB" w:rsidR="001E7BA6" w:rsidRPr="008E09C8" w:rsidRDefault="001E7BA6" w:rsidP="001E7BA6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>ֆ</w:t>
      </w:r>
      <w:r w:rsidRPr="008E09C8">
        <w:rPr>
          <w:rFonts w:ascii="GHEA Grapalat" w:hAnsi="GHEA Grapalat"/>
          <w:sz w:val="24"/>
          <w:szCs w:val="24"/>
          <w:lang w:val="hy-AM"/>
        </w:rPr>
        <w:t>ինանսական տեղեկատվության հավաքագրման և ՖՆ-ին դրա տրամադրմ</w:t>
      </w:r>
      <w:r w:rsidRPr="00D96D9D">
        <w:rPr>
          <w:rFonts w:ascii="GHEA Grapalat" w:hAnsi="GHEA Grapalat"/>
          <w:sz w:val="24"/>
          <w:szCs w:val="24"/>
          <w:lang w:val="hy-AM"/>
        </w:rPr>
        <w:t>ան համար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96D9D">
        <w:rPr>
          <w:rFonts w:ascii="GHEA Grapalat" w:hAnsi="GHEA Grapalat"/>
          <w:sz w:val="24"/>
          <w:szCs w:val="24"/>
          <w:lang w:val="hy-AM"/>
        </w:rPr>
        <w:t>ՊՄԸ</w:t>
      </w:r>
      <w:r w:rsidRPr="008E09C8">
        <w:rPr>
          <w:rFonts w:ascii="GHEA Grapalat" w:hAnsi="GHEA Grapalat"/>
          <w:sz w:val="24"/>
          <w:szCs w:val="24"/>
          <w:lang w:val="hy-AM"/>
        </w:rPr>
        <w:t>-ների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ֆինանսական և հարկաբյուջետային վերահ</w:t>
      </w:r>
      <w:r w:rsidR="00E62261" w:rsidRPr="008E09C8">
        <w:rPr>
          <w:rFonts w:ascii="GHEA Grapalat" w:hAnsi="GHEA Grapalat"/>
          <w:sz w:val="24"/>
          <w:szCs w:val="24"/>
          <w:lang w:val="hy-AM"/>
        </w:rPr>
        <w:t xml:space="preserve">սկողություն իրականացնելու </w:t>
      </w:r>
      <w:r w:rsidR="009C4B05">
        <w:rPr>
          <w:rFonts w:ascii="GHEA Grapalat" w:hAnsi="GHEA Grapalat"/>
          <w:sz w:val="24"/>
          <w:szCs w:val="24"/>
          <w:lang w:val="hy-AM"/>
        </w:rPr>
        <w:t>նպատակով</w:t>
      </w:r>
      <w:r w:rsidR="00E62261" w:rsidRPr="00D96D9D">
        <w:rPr>
          <w:rFonts w:ascii="Cambria Math" w:hAnsi="Cambria Math"/>
          <w:sz w:val="24"/>
          <w:szCs w:val="24"/>
          <w:lang w:val="hy-AM"/>
        </w:rPr>
        <w:t>․</w:t>
      </w:r>
    </w:p>
    <w:p w14:paraId="7EEF7F6B" w14:textId="7637618F" w:rsidR="00765B64" w:rsidRPr="008E09C8" w:rsidRDefault="00A55EF4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ապահովել</w:t>
      </w:r>
      <w:r w:rsidR="009C4B05">
        <w:rPr>
          <w:rFonts w:ascii="GHEA Grapalat" w:hAnsi="GHEA Grapalat"/>
          <w:sz w:val="24"/>
          <w:szCs w:val="24"/>
          <w:lang w:val="hy-AM"/>
        </w:rPr>
        <w:t>ու</w:t>
      </w:r>
      <w:r w:rsidR="00F103A2" w:rsidRPr="008E09C8">
        <w:rPr>
          <w:rFonts w:ascii="GHEA Grapalat" w:hAnsi="GHEA Grapalat"/>
          <w:sz w:val="24"/>
          <w:szCs w:val="24"/>
          <w:lang w:val="hy-AM"/>
        </w:rPr>
        <w:t xml:space="preserve"> նո</w:t>
      </w:r>
      <w:r w:rsidR="00765B64" w:rsidRPr="008E09C8">
        <w:rPr>
          <w:rFonts w:ascii="GHEA Grapalat" w:hAnsi="GHEA Grapalat"/>
          <w:sz w:val="24"/>
          <w:szCs w:val="24"/>
          <w:lang w:val="hy-AM"/>
        </w:rPr>
        <w:t xml:space="preserve">ր ստեղծվող և գործող </w:t>
      </w:r>
      <w:r w:rsidR="00765B64" w:rsidRPr="00D96D9D">
        <w:rPr>
          <w:rFonts w:ascii="GHEA Grapalat" w:hAnsi="GHEA Grapalat"/>
          <w:sz w:val="24"/>
          <w:szCs w:val="24"/>
          <w:lang w:val="hy-AM"/>
        </w:rPr>
        <w:t>ՊՄԸ-ների</w:t>
      </w:r>
      <w:r w:rsidR="00765B64" w:rsidRPr="008E09C8">
        <w:rPr>
          <w:rFonts w:ascii="GHEA Grapalat" w:hAnsi="GHEA Grapalat"/>
          <w:sz w:val="24"/>
          <w:szCs w:val="24"/>
          <w:lang w:val="hy-AM"/>
        </w:rPr>
        <w:t xml:space="preserve"> համապատասխանությունը ՊՄԸ</w:t>
      </w:r>
      <w:r w:rsidR="009C4B05">
        <w:rPr>
          <w:rFonts w:ascii="GHEA Grapalat" w:hAnsi="GHEA Grapalat"/>
          <w:sz w:val="24"/>
          <w:szCs w:val="24"/>
          <w:lang w:val="hy-AM"/>
        </w:rPr>
        <w:t xml:space="preserve"> </w:t>
      </w:r>
      <w:r w:rsidR="00765B64" w:rsidRPr="008E09C8">
        <w:rPr>
          <w:rFonts w:ascii="GHEA Grapalat" w:hAnsi="GHEA Grapalat"/>
          <w:sz w:val="24"/>
          <w:szCs w:val="24"/>
          <w:lang w:val="hy-AM"/>
        </w:rPr>
        <w:t xml:space="preserve">քաղաքականությանը. </w:t>
      </w:r>
    </w:p>
    <w:p w14:paraId="013752D4" w14:textId="6DC03782" w:rsidR="00BA4488" w:rsidRPr="008E09C8" w:rsidRDefault="00C06331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Սեփականության իրավունքի ուղղակի իրացման միջոցով առևտրային նպատակ ունեցող ՊՄԸ–ների</w:t>
      </w:r>
      <w:r w:rsidR="00140D1B">
        <w:rPr>
          <w:rFonts w:ascii="GHEA Grapalat" w:hAnsi="GHEA Grapalat"/>
          <w:sz w:val="24"/>
          <w:szCs w:val="24"/>
          <w:lang w:val="hy-AM"/>
        </w:rPr>
        <w:t>՝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երկարաժամկետ կտրվածքում առավելագույն շահութաբերություն</w:t>
      </w:r>
      <w:r w:rsidR="009C4B05">
        <w:rPr>
          <w:rFonts w:ascii="GHEA Grapalat" w:hAnsi="GHEA Grapalat"/>
          <w:sz w:val="24"/>
          <w:szCs w:val="24"/>
          <w:lang w:val="hy-AM"/>
        </w:rPr>
        <w:t>ն</w:t>
      </w:r>
      <w:r w:rsidR="009C4B05" w:rsidRPr="009C4B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B05" w:rsidRPr="008E09C8">
        <w:rPr>
          <w:rFonts w:ascii="GHEA Grapalat" w:hAnsi="GHEA Grapalat"/>
          <w:sz w:val="24"/>
          <w:szCs w:val="24"/>
          <w:lang w:val="hy-AM"/>
        </w:rPr>
        <w:t>ապահովել</w:t>
      </w:r>
      <w:r w:rsidR="009C4B05">
        <w:rPr>
          <w:rFonts w:ascii="GHEA Grapalat" w:hAnsi="GHEA Grapalat"/>
          <w:sz w:val="24"/>
          <w:szCs w:val="24"/>
          <w:lang w:val="hy-AM"/>
        </w:rPr>
        <w:t>ու</w:t>
      </w:r>
      <w:r w:rsidR="009C4B05"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B05">
        <w:rPr>
          <w:rFonts w:ascii="GHEA Grapalat" w:hAnsi="GHEA Grapalat"/>
          <w:sz w:val="24"/>
          <w:szCs w:val="24"/>
          <w:lang w:val="hy-AM"/>
        </w:rPr>
        <w:t>համար</w:t>
      </w:r>
      <w:r w:rsidR="00BA4488">
        <w:rPr>
          <w:rFonts w:ascii="Cambria Math" w:hAnsi="Cambria Math"/>
          <w:sz w:val="24"/>
          <w:szCs w:val="24"/>
          <w:lang w:val="hy-AM"/>
        </w:rPr>
        <w:t>․</w:t>
      </w:r>
    </w:p>
    <w:p w14:paraId="0FD09FD7" w14:textId="4782B084" w:rsidR="00C06331" w:rsidRPr="008E09C8" w:rsidRDefault="00BA4488" w:rsidP="008E09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 xml:space="preserve">ՊՄԸ-ների </w:t>
      </w:r>
      <w:r>
        <w:rPr>
          <w:rFonts w:ascii="GHEA Grapalat" w:hAnsi="GHEA Grapalat"/>
          <w:sz w:val="24"/>
          <w:szCs w:val="24"/>
          <w:lang w:val="hy-AM"/>
        </w:rPr>
        <w:t>վերաբերյալ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տարեկան հաշվետվության մշակման և ներկայա</w:t>
      </w:r>
      <w:r>
        <w:rPr>
          <w:rFonts w:ascii="GHEA Grapalat" w:hAnsi="GHEA Grapalat"/>
          <w:sz w:val="24"/>
          <w:szCs w:val="24"/>
          <w:lang w:val="hy-AM"/>
        </w:rPr>
        <w:t>ց</w:t>
      </w:r>
      <w:r w:rsidRPr="008E09C8">
        <w:rPr>
          <w:rFonts w:ascii="GHEA Grapalat" w:hAnsi="GHEA Grapalat"/>
          <w:sz w:val="24"/>
          <w:szCs w:val="24"/>
          <w:lang w:val="hy-AM"/>
        </w:rPr>
        <w:t>ման համար։</w:t>
      </w:r>
    </w:p>
    <w:p w14:paraId="463B67B5" w14:textId="678D015A" w:rsidR="00157BCA" w:rsidRPr="00D96D9D" w:rsidRDefault="00157BCA" w:rsidP="008E09C8">
      <w:pPr>
        <w:pStyle w:val="ListParagraph"/>
        <w:spacing w:after="0" w:line="276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65821D4E" w14:textId="2779C897" w:rsidR="00543132" w:rsidRPr="008E09C8" w:rsidRDefault="00223BE5" w:rsidP="008E09C8">
      <w:pPr>
        <w:spacing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8E09C8">
        <w:rPr>
          <w:rFonts w:ascii="GHEA Grapalat" w:hAnsi="GHEA Grapalat"/>
          <w:sz w:val="24"/>
          <w:szCs w:val="24"/>
          <w:u w:val="single"/>
          <w:lang w:val="hy-AM"/>
        </w:rPr>
        <w:t>Ոլորտային</w:t>
      </w:r>
      <w:r w:rsidR="00543132" w:rsidRPr="008E09C8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206DC" w:rsidRPr="008E09C8">
        <w:rPr>
          <w:rFonts w:ascii="GHEA Grapalat" w:hAnsi="GHEA Grapalat"/>
          <w:sz w:val="24"/>
          <w:szCs w:val="24"/>
          <w:u w:val="single"/>
          <w:lang w:val="hy-AM"/>
        </w:rPr>
        <w:t>պատասխանատու մարմինների/</w:t>
      </w:r>
      <w:r w:rsidR="00543132" w:rsidRPr="008E09C8">
        <w:rPr>
          <w:rFonts w:ascii="GHEA Grapalat" w:hAnsi="GHEA Grapalat"/>
          <w:sz w:val="24"/>
          <w:szCs w:val="24"/>
          <w:u w:val="single"/>
          <w:lang w:val="hy-AM"/>
        </w:rPr>
        <w:t>նախարարություններ</w:t>
      </w:r>
      <w:r w:rsidR="007E2892" w:rsidRPr="008E09C8">
        <w:rPr>
          <w:rFonts w:ascii="GHEA Grapalat" w:hAnsi="GHEA Grapalat"/>
          <w:sz w:val="24"/>
          <w:szCs w:val="24"/>
          <w:u w:val="single"/>
          <w:lang w:val="hy-AM"/>
        </w:rPr>
        <w:t>ի դերը</w:t>
      </w:r>
    </w:p>
    <w:p w14:paraId="23E61CA8" w14:textId="21DC2CBD" w:rsidR="00097355" w:rsidRDefault="00852D8E" w:rsidP="008E09C8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 xml:space="preserve">Ոլորտային </w:t>
      </w:r>
      <w:r w:rsidR="004206DC">
        <w:rPr>
          <w:rFonts w:ascii="GHEA Grapalat" w:hAnsi="GHEA Grapalat"/>
          <w:bCs/>
          <w:sz w:val="24"/>
          <w:szCs w:val="24"/>
          <w:lang w:val="hy-AM"/>
        </w:rPr>
        <w:t>մարմինները պատասխանատու են</w:t>
      </w:r>
      <w:r w:rsidR="00097355" w:rsidRPr="00E622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71B5" w:rsidRPr="00E62261">
        <w:rPr>
          <w:rFonts w:ascii="GHEA Grapalat" w:hAnsi="GHEA Grapalat"/>
          <w:bCs/>
          <w:sz w:val="24"/>
          <w:szCs w:val="24"/>
          <w:lang w:val="hy-AM"/>
        </w:rPr>
        <w:t>ոչ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71B5" w:rsidRPr="00D96D9D">
        <w:rPr>
          <w:rFonts w:ascii="GHEA Grapalat" w:hAnsi="GHEA Grapalat"/>
          <w:bCs/>
          <w:sz w:val="24"/>
          <w:szCs w:val="24"/>
          <w:lang w:val="hy-AM"/>
        </w:rPr>
        <w:t>ֆինանսական ցուցանիշների</w:t>
      </w:r>
      <w:r w:rsidR="003E799C" w:rsidRPr="00E62261">
        <w:rPr>
          <w:rFonts w:ascii="GHEA Grapalat" w:hAnsi="GHEA Grapalat"/>
          <w:bCs/>
          <w:sz w:val="24"/>
          <w:szCs w:val="24"/>
          <w:lang w:val="hy-AM"/>
        </w:rPr>
        <w:t xml:space="preserve"> սահմանման</w:t>
      </w:r>
      <w:r w:rsidR="008371B5" w:rsidRPr="00E62261">
        <w:rPr>
          <w:rFonts w:ascii="GHEA Grapalat" w:hAnsi="GHEA Grapalat"/>
          <w:bCs/>
          <w:sz w:val="24"/>
          <w:szCs w:val="24"/>
          <w:lang w:val="hy-AM"/>
        </w:rPr>
        <w:t xml:space="preserve"> համար այն դեպքում</w:t>
      </w:r>
      <w:r w:rsidR="004206DC">
        <w:rPr>
          <w:rFonts w:ascii="GHEA Grapalat" w:hAnsi="GHEA Grapalat"/>
          <w:bCs/>
          <w:sz w:val="24"/>
          <w:szCs w:val="24"/>
          <w:lang w:val="hy-AM"/>
        </w:rPr>
        <w:t xml:space="preserve">, երբ ՊՄԸ </w:t>
      </w:r>
      <w:r w:rsidR="008371B5" w:rsidRPr="00E62261">
        <w:rPr>
          <w:rFonts w:ascii="GHEA Grapalat" w:hAnsi="GHEA Grapalat"/>
          <w:bCs/>
          <w:sz w:val="24"/>
          <w:szCs w:val="24"/>
          <w:lang w:val="hy-AM"/>
        </w:rPr>
        <w:t>սեփականության նպատակը հանրային</w:t>
      </w:r>
      <w:r w:rsidR="004206DC">
        <w:rPr>
          <w:rFonts w:ascii="GHEA Grapalat" w:hAnsi="GHEA Grapalat"/>
          <w:bCs/>
          <w:sz w:val="24"/>
          <w:szCs w:val="24"/>
          <w:lang w:val="hy-AM"/>
        </w:rPr>
        <w:t xml:space="preserve"> քաղաքականության նպատակ</w:t>
      </w:r>
      <w:r w:rsidR="00202AC7">
        <w:rPr>
          <w:rFonts w:ascii="GHEA Grapalat" w:hAnsi="GHEA Grapalat"/>
          <w:bCs/>
          <w:sz w:val="24"/>
          <w:szCs w:val="24"/>
          <w:lang w:val="hy-AM"/>
        </w:rPr>
        <w:t>ն է</w:t>
      </w:r>
      <w:r w:rsidR="008371B5" w:rsidRPr="00D96D9D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16AD1A6A" w14:textId="60C1CF68" w:rsidR="00C571B3" w:rsidRDefault="00C571B3" w:rsidP="008E09C8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63EA0C0" w14:textId="77777777" w:rsidR="00C571B3" w:rsidRDefault="00C571B3" w:rsidP="008E09C8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6ED345F1" w14:textId="77777777" w:rsidR="00807F2A" w:rsidRPr="00D96D9D" w:rsidRDefault="00807F2A" w:rsidP="008E09C8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750FDE56" w14:textId="7488CC06" w:rsidR="00097355" w:rsidRPr="008E09C8" w:rsidRDefault="00097355" w:rsidP="008E09C8">
      <w:pPr>
        <w:spacing w:line="276" w:lineRule="auto"/>
        <w:rPr>
          <w:rFonts w:ascii="GHEA Grapalat" w:hAnsi="GHEA Grapalat"/>
          <w:b/>
          <w:i/>
          <w:sz w:val="24"/>
          <w:szCs w:val="24"/>
          <w:lang w:val="hy-AM"/>
        </w:rPr>
      </w:pPr>
      <w:bookmarkStart w:id="5" w:name="_Toc162281633"/>
      <w:r w:rsidRPr="008E09C8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ՊՄԸ</w:t>
      </w:r>
      <w:r w:rsidR="00223BE5" w:rsidRPr="008E09C8">
        <w:rPr>
          <w:rFonts w:ascii="GHEA Grapalat" w:hAnsi="GHEA Grapalat"/>
          <w:b/>
          <w:i/>
          <w:sz w:val="24"/>
          <w:szCs w:val="24"/>
          <w:lang w:val="hy-AM"/>
        </w:rPr>
        <w:t xml:space="preserve"> քաղաքականության վերաբերյալ Կառավարության հաշվետվողականությունը </w:t>
      </w:r>
      <w:bookmarkEnd w:id="5"/>
    </w:p>
    <w:p w14:paraId="7CD18864" w14:textId="4A3D9F3E" w:rsidR="00097355" w:rsidRPr="000F1DB5" w:rsidRDefault="00097355" w:rsidP="008E09C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CIDFont+F3"/>
          <w:sz w:val="24"/>
          <w:szCs w:val="24"/>
          <w:lang w:val="hy-AM"/>
        </w:rPr>
      </w:pPr>
      <w:r w:rsidRPr="00D96D9D">
        <w:rPr>
          <w:rFonts w:ascii="GHEA Grapalat" w:hAnsi="GHEA Grapalat" w:cs="CIDFont+F3"/>
          <w:sz w:val="24"/>
          <w:szCs w:val="24"/>
          <w:lang w:val="hy-AM"/>
        </w:rPr>
        <w:t xml:space="preserve">ՀՀ կառավարությունը </w:t>
      </w:r>
      <w:r w:rsidR="001B5ADD">
        <w:rPr>
          <w:rFonts w:ascii="GHEA Grapalat" w:hAnsi="GHEA Grapalat" w:cs="CIDFont+F3"/>
          <w:sz w:val="24"/>
          <w:szCs w:val="24"/>
          <w:lang w:val="hy-AM"/>
        </w:rPr>
        <w:t xml:space="preserve">առնվազն </w:t>
      </w:r>
      <w:r w:rsidR="000F1DB5" w:rsidRPr="000F1DB5">
        <w:rPr>
          <w:rFonts w:ascii="GHEA Grapalat" w:hAnsi="GHEA Grapalat" w:cs="CIDFont+F3"/>
          <w:sz w:val="24"/>
          <w:szCs w:val="24"/>
          <w:lang w:val="hy-AM"/>
        </w:rPr>
        <w:t xml:space="preserve">երեք տարին մեկ անգամ </w:t>
      </w:r>
      <w:r w:rsidR="000F1DB5" w:rsidRPr="008E09C8">
        <w:rPr>
          <w:rFonts w:ascii="GHEA Grapalat" w:hAnsi="GHEA Grapalat" w:cs="CIDFont+F3"/>
          <w:sz w:val="24"/>
          <w:szCs w:val="24"/>
          <w:lang w:val="hy-AM"/>
        </w:rPr>
        <w:t>(</w:t>
      </w:r>
      <w:r w:rsidRPr="00D96D9D">
        <w:rPr>
          <w:rFonts w:ascii="GHEA Grapalat" w:hAnsi="GHEA Grapalat" w:cs="CIDFont+F3"/>
          <w:sz w:val="24"/>
          <w:szCs w:val="24"/>
          <w:lang w:val="hy-AM"/>
        </w:rPr>
        <w:t>և</w:t>
      </w:r>
      <w:r w:rsidR="00DF7960" w:rsidRPr="00D96D9D">
        <w:rPr>
          <w:rFonts w:ascii="GHEA Grapalat" w:hAnsi="GHEA Grapalat" w:cs="CIDFont+F3"/>
          <w:sz w:val="24"/>
          <w:szCs w:val="24"/>
          <w:lang w:val="hy-AM"/>
        </w:rPr>
        <w:t>/</w:t>
      </w:r>
      <w:r w:rsidRPr="00E62261">
        <w:rPr>
          <w:rFonts w:ascii="GHEA Grapalat" w:hAnsi="GHEA Grapalat" w:cs="CIDFont+F3"/>
          <w:sz w:val="24"/>
          <w:szCs w:val="24"/>
          <w:lang w:val="hy-AM"/>
        </w:rPr>
        <w:t xml:space="preserve">կամ </w:t>
      </w:r>
      <w:r w:rsidR="000F1DB5">
        <w:rPr>
          <w:rFonts w:ascii="GHEA Grapalat" w:hAnsi="GHEA Grapalat" w:cs="CIDFont+F3"/>
          <w:sz w:val="24"/>
          <w:szCs w:val="24"/>
          <w:lang w:val="hy-AM"/>
        </w:rPr>
        <w:t>Կ</w:t>
      </w:r>
      <w:r w:rsidRPr="00D96D9D">
        <w:rPr>
          <w:rFonts w:ascii="GHEA Grapalat" w:hAnsi="GHEA Grapalat" w:cs="CIDFont+F3"/>
          <w:sz w:val="24"/>
          <w:szCs w:val="24"/>
          <w:lang w:val="hy-AM"/>
        </w:rPr>
        <w:t xml:space="preserve">առավարության </w:t>
      </w:r>
      <w:r w:rsidR="000F1DB5" w:rsidRPr="00400A09">
        <w:rPr>
          <w:rFonts w:ascii="GHEA Grapalat" w:hAnsi="GHEA Grapalat" w:cs="CIDFont+F3"/>
          <w:sz w:val="24"/>
          <w:szCs w:val="24"/>
          <w:lang w:val="hy-AM"/>
        </w:rPr>
        <w:t xml:space="preserve">նոր </w:t>
      </w:r>
      <w:r w:rsidRPr="00D96D9D">
        <w:rPr>
          <w:rFonts w:ascii="GHEA Grapalat" w:hAnsi="GHEA Grapalat" w:cs="CIDFont+F3"/>
          <w:sz w:val="24"/>
          <w:szCs w:val="24"/>
          <w:lang w:val="hy-AM"/>
        </w:rPr>
        <w:t xml:space="preserve">ծրագրի ընդունումից հետո) </w:t>
      </w:r>
      <w:r w:rsidR="000F1DB5">
        <w:rPr>
          <w:rFonts w:ascii="GHEA Grapalat" w:hAnsi="GHEA Grapalat" w:cs="CIDFont+F3"/>
          <w:sz w:val="24"/>
          <w:szCs w:val="24"/>
          <w:lang w:val="hy-AM"/>
        </w:rPr>
        <w:t>պետք է վերանայի</w:t>
      </w:r>
      <w:r w:rsidR="000F1DB5" w:rsidRPr="00D96D9D">
        <w:rPr>
          <w:rFonts w:ascii="GHEA Grapalat" w:hAnsi="GHEA Grapalat" w:cs="CIDFont+F3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CIDFont+F3"/>
          <w:sz w:val="24"/>
          <w:szCs w:val="24"/>
          <w:lang w:val="hy-AM"/>
        </w:rPr>
        <w:t>ՊՄԸ-ների սեփականության քաղաքականությունը</w:t>
      </w:r>
      <w:r w:rsidR="000F1DB5">
        <w:rPr>
          <w:rFonts w:ascii="GHEA Grapalat" w:hAnsi="GHEA Grapalat" w:cs="CIDFont+F3"/>
          <w:sz w:val="24"/>
          <w:szCs w:val="24"/>
          <w:lang w:val="hy-AM"/>
        </w:rPr>
        <w:t xml:space="preserve">՝ </w:t>
      </w:r>
      <w:r w:rsidRPr="00E62261">
        <w:rPr>
          <w:rFonts w:ascii="GHEA Grapalat" w:hAnsi="GHEA Grapalat" w:cs="CIDFont+F3"/>
          <w:sz w:val="24"/>
          <w:szCs w:val="24"/>
          <w:lang w:val="hy-AM"/>
        </w:rPr>
        <w:t xml:space="preserve">ներառյալ սեփականության նպատակները, </w:t>
      </w:r>
      <w:r w:rsidR="000F1DB5" w:rsidRPr="000F1DB5">
        <w:rPr>
          <w:rFonts w:ascii="GHEA Grapalat" w:hAnsi="GHEA Grapalat" w:cs="CIDFont+F3"/>
          <w:sz w:val="24"/>
          <w:szCs w:val="24"/>
          <w:lang w:val="hy-AM"/>
        </w:rPr>
        <w:t xml:space="preserve">որպեսզի արտացոլվեն ՀՀ-ում շուկաների զարգացումը և կարգավորումը: Մասնավորապես, նման վերանայումը անհրաժեշտ է դիտարկելու համար, թե արդյոք ձեռք են բերվել շուկայական նոր մեխանիզմներ, որոնք ավելի քիչ են խաթարում մրցակցությունը և (կամ) ավելի արդյունավետ են պետական քաղաքականության նպատակներին հասնելու համար: </w:t>
      </w:r>
    </w:p>
    <w:p w14:paraId="286A2418" w14:textId="65EA17DB" w:rsidR="00DF7960" w:rsidRPr="00E62261" w:rsidRDefault="00097355" w:rsidP="008E09C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CIDFont+F3"/>
          <w:sz w:val="24"/>
          <w:szCs w:val="24"/>
          <w:lang w:val="hy-AM"/>
        </w:rPr>
      </w:pPr>
      <w:r w:rsidRPr="00D96D9D">
        <w:rPr>
          <w:rFonts w:ascii="GHEA Grapalat" w:hAnsi="GHEA Grapalat" w:cs="CIDFont+F3"/>
          <w:sz w:val="24"/>
          <w:szCs w:val="24"/>
          <w:lang w:val="hy-AM"/>
        </w:rPr>
        <w:t xml:space="preserve">ՀՀ կառավարությունը </w:t>
      </w:r>
      <w:r w:rsidR="00EF7F93">
        <w:rPr>
          <w:rFonts w:ascii="GHEA Grapalat" w:hAnsi="GHEA Grapalat" w:cs="CIDFont+F3"/>
          <w:sz w:val="24"/>
          <w:szCs w:val="24"/>
          <w:lang w:val="hy-AM"/>
        </w:rPr>
        <w:t>կհրապարակի</w:t>
      </w:r>
      <w:r w:rsidR="00EF7F93" w:rsidRPr="00D96D9D">
        <w:rPr>
          <w:rFonts w:ascii="GHEA Grapalat" w:hAnsi="GHEA Grapalat" w:cs="CIDFont+F3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CIDFont+F3"/>
          <w:sz w:val="24"/>
          <w:szCs w:val="24"/>
          <w:lang w:val="hy-AM"/>
        </w:rPr>
        <w:t xml:space="preserve">ՊՄԸ-ների </w:t>
      </w:r>
      <w:r w:rsidR="00202AC7">
        <w:rPr>
          <w:rFonts w:ascii="GHEA Grapalat" w:hAnsi="GHEA Grapalat" w:cs="CIDFont+F3"/>
          <w:sz w:val="24"/>
          <w:szCs w:val="24"/>
          <w:lang w:val="hy-AM"/>
        </w:rPr>
        <w:t>վերաբերյալ</w:t>
      </w:r>
      <w:r w:rsidRPr="00E62261">
        <w:rPr>
          <w:rFonts w:ascii="GHEA Grapalat" w:hAnsi="GHEA Grapalat" w:cs="CIDFont+F3"/>
          <w:sz w:val="24"/>
          <w:szCs w:val="24"/>
          <w:lang w:val="hy-AM"/>
        </w:rPr>
        <w:t xml:space="preserve"> հաշվետվությունը, որում կարտացոլվ</w:t>
      </w:r>
      <w:r w:rsidR="000F1DB5">
        <w:rPr>
          <w:rFonts w:ascii="GHEA Grapalat" w:hAnsi="GHEA Grapalat" w:cs="CIDFont+F3"/>
          <w:sz w:val="24"/>
          <w:szCs w:val="24"/>
          <w:lang w:val="hy-AM"/>
        </w:rPr>
        <w:t>են</w:t>
      </w:r>
      <w:r w:rsidRPr="00D96D9D">
        <w:rPr>
          <w:rFonts w:ascii="GHEA Grapalat" w:hAnsi="GHEA Grapalat" w:cs="CIDFont+F3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CIDFont+F3"/>
          <w:sz w:val="24"/>
          <w:szCs w:val="24"/>
          <w:lang w:val="hy-AM"/>
        </w:rPr>
        <w:t>ՊՄԸ-ների կատարողական արդյունքներ</w:t>
      </w:r>
      <w:r w:rsidR="000F1DB5">
        <w:rPr>
          <w:rFonts w:ascii="GHEA Grapalat" w:hAnsi="GHEA Grapalat" w:cs="CIDFont+F3"/>
          <w:sz w:val="24"/>
          <w:szCs w:val="24"/>
          <w:lang w:val="hy-AM"/>
        </w:rPr>
        <w:t>ը և դրանց</w:t>
      </w:r>
      <w:r w:rsidRPr="00D96D9D">
        <w:rPr>
          <w:rFonts w:ascii="GHEA Grapalat" w:hAnsi="GHEA Grapalat" w:cs="CIDFont+F3"/>
          <w:sz w:val="24"/>
          <w:szCs w:val="24"/>
          <w:lang w:val="hy-AM"/>
        </w:rPr>
        <w:t xml:space="preserve"> գնահատում</w:t>
      </w:r>
      <w:r w:rsidR="000F1DB5">
        <w:rPr>
          <w:rFonts w:ascii="GHEA Grapalat" w:hAnsi="GHEA Grapalat" w:cs="CIDFont+F3"/>
          <w:sz w:val="24"/>
          <w:szCs w:val="24"/>
          <w:lang w:val="hy-AM"/>
        </w:rPr>
        <w:t>ները</w:t>
      </w:r>
      <w:r w:rsidRPr="00D96D9D">
        <w:rPr>
          <w:rFonts w:ascii="GHEA Grapalat" w:hAnsi="GHEA Grapalat" w:cs="CIDFont+F3"/>
          <w:sz w:val="24"/>
          <w:szCs w:val="24"/>
          <w:lang w:val="hy-AM"/>
        </w:rPr>
        <w:t xml:space="preserve">։ </w:t>
      </w:r>
      <w:r w:rsidR="000F1DB5">
        <w:rPr>
          <w:rFonts w:ascii="GHEA Grapalat" w:hAnsi="GHEA Grapalat" w:cs="CIDFont+F3"/>
          <w:sz w:val="24"/>
          <w:szCs w:val="24"/>
          <w:lang w:val="hy-AM"/>
        </w:rPr>
        <w:t xml:space="preserve">Տարեկան </w:t>
      </w:r>
      <w:r w:rsidR="00BA4488">
        <w:rPr>
          <w:rFonts w:ascii="GHEA Grapalat" w:hAnsi="GHEA Grapalat" w:cs="CIDFont+F3"/>
          <w:sz w:val="24"/>
          <w:szCs w:val="24"/>
          <w:lang w:val="hy-AM"/>
        </w:rPr>
        <w:t>ամփոփ հաշվետվության համար պատասխանատու է հ</w:t>
      </w:r>
      <w:r w:rsidR="00DF7960" w:rsidRPr="00D96D9D">
        <w:rPr>
          <w:rFonts w:ascii="GHEA Grapalat" w:hAnsi="GHEA Grapalat" w:cs="CIDFont+F3"/>
          <w:sz w:val="24"/>
          <w:szCs w:val="24"/>
          <w:lang w:val="hy-AM"/>
        </w:rPr>
        <w:t>ամակարգող մարմինը</w:t>
      </w:r>
      <w:r w:rsidR="00BA4488">
        <w:rPr>
          <w:rFonts w:ascii="GHEA Grapalat" w:hAnsi="GHEA Grapalat" w:cs="CIDFont+F3"/>
          <w:sz w:val="24"/>
          <w:szCs w:val="24"/>
          <w:lang w:val="hy-AM"/>
        </w:rPr>
        <w:t>։</w:t>
      </w:r>
    </w:p>
    <w:p w14:paraId="310047E4" w14:textId="77777777" w:rsidR="003C53B3" w:rsidRPr="00E62261" w:rsidRDefault="003C53B3" w:rsidP="008E09C8">
      <w:pPr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CIDFont+F1"/>
          <w:color w:val="004C98"/>
          <w:sz w:val="24"/>
          <w:szCs w:val="24"/>
          <w:lang w:val="hy-AM"/>
        </w:rPr>
      </w:pPr>
    </w:p>
    <w:p w14:paraId="73725EE2" w14:textId="1CE791E1" w:rsidR="00AC55BF" w:rsidRPr="00D96D9D" w:rsidRDefault="00AC55BF" w:rsidP="008E09C8">
      <w:p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Տարեկան ամփոփ հաշվետվության բովանդակություն</w:t>
      </w:r>
      <w:r w:rsidR="00BA4488">
        <w:rPr>
          <w:rFonts w:ascii="GHEA Grapalat" w:hAnsi="GHEA Grapalat"/>
          <w:sz w:val="24"/>
          <w:szCs w:val="24"/>
          <w:lang w:val="hy-AM"/>
        </w:rPr>
        <w:t>ը</w:t>
      </w:r>
      <w:r w:rsidR="00223BE5" w:rsidRPr="00D96D9D">
        <w:rPr>
          <w:rFonts w:ascii="Cambria Math" w:hAnsi="Cambria Math" w:cs="Arial"/>
          <w:sz w:val="24"/>
          <w:szCs w:val="24"/>
          <w:lang w:val="hy-AM"/>
        </w:rPr>
        <w:t>․</w:t>
      </w:r>
      <w:r w:rsidRPr="008E09C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5AB8E1BF" w14:textId="66287D42" w:rsidR="00097355" w:rsidRPr="00E62261" w:rsidRDefault="00097355" w:rsidP="008E09C8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A716D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նկարագիրը</w:t>
      </w:r>
      <w:r w:rsidR="00BA4488" w:rsidRPr="008E09C8">
        <w:rPr>
          <w:rFonts w:ascii="GHEA Grapalat" w:hAnsi="GHEA Grapalat" w:cs="Arial"/>
          <w:sz w:val="24"/>
          <w:szCs w:val="24"/>
          <w:lang w:val="hy-AM"/>
        </w:rPr>
        <w:t>, այդ թվում՝</w:t>
      </w:r>
      <w:r w:rsidR="00BA4488" w:rsidRPr="00A716DC">
        <w:rPr>
          <w:rFonts w:ascii="GHEA Grapalat" w:hAnsi="GHEA Grapalat" w:cs="Arial"/>
          <w:sz w:val="24"/>
          <w:szCs w:val="24"/>
          <w:lang w:val="hy-AM"/>
        </w:rPr>
        <w:t xml:space="preserve"> տեղեկատվություն</w:t>
      </w:r>
      <w:r w:rsidR="00BA4488">
        <w:rPr>
          <w:rFonts w:ascii="GHEA Grapalat" w:hAnsi="GHEA Grapalat"/>
          <w:sz w:val="24"/>
          <w:szCs w:val="24"/>
          <w:lang w:val="hy-AM"/>
        </w:rPr>
        <w:t xml:space="preserve"> դրա </w:t>
      </w:r>
      <w:r w:rsidRPr="00D96D9D">
        <w:rPr>
          <w:rFonts w:ascii="GHEA Grapalat" w:hAnsi="GHEA Grapalat" w:cs="Arial"/>
          <w:sz w:val="24"/>
          <w:szCs w:val="24"/>
          <w:lang w:val="hy-AM"/>
        </w:rPr>
        <w:t>իրագործ</w:t>
      </w:r>
      <w:r w:rsidR="00BA4488">
        <w:rPr>
          <w:rFonts w:ascii="GHEA Grapalat" w:hAnsi="GHEA Grapalat"/>
          <w:sz w:val="24"/>
          <w:szCs w:val="24"/>
          <w:lang w:val="hy-AM"/>
        </w:rPr>
        <w:t>ման</w:t>
      </w:r>
      <w:r w:rsidR="00BA4488">
        <w:rPr>
          <w:rFonts w:ascii="Cambria Math" w:hAnsi="Cambria Math"/>
          <w:sz w:val="24"/>
          <w:szCs w:val="24"/>
          <w:lang w:val="hy-AM"/>
        </w:rPr>
        <w:t>,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488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BA4488" w:rsidRPr="001638C8">
        <w:rPr>
          <w:rFonts w:ascii="GHEA Grapalat" w:hAnsi="GHEA Grapalat" w:cs="Arial"/>
          <w:sz w:val="24"/>
          <w:szCs w:val="24"/>
          <w:lang w:val="hy-AM"/>
        </w:rPr>
        <w:t>ենթարկվ</w:t>
      </w:r>
      <w:r w:rsidR="00BA4488">
        <w:rPr>
          <w:rFonts w:ascii="GHEA Grapalat" w:hAnsi="GHEA Grapalat" w:cs="Arial"/>
          <w:sz w:val="24"/>
          <w:szCs w:val="24"/>
          <w:lang w:val="hy-AM"/>
        </w:rPr>
        <w:t xml:space="preserve">ած և նախատեսվող </w:t>
      </w:r>
      <w:r w:rsidRPr="00E62261">
        <w:rPr>
          <w:rFonts w:ascii="GHEA Grapalat" w:hAnsi="GHEA Grapalat" w:cs="Arial"/>
          <w:sz w:val="24"/>
          <w:szCs w:val="24"/>
          <w:lang w:val="hy-AM"/>
        </w:rPr>
        <w:t>փոփոխությունների</w:t>
      </w:r>
      <w:r w:rsidR="00BA4488">
        <w:rPr>
          <w:rFonts w:ascii="GHEA Grapalat" w:hAnsi="GHEA Grapalat" w:cs="Arial"/>
          <w:sz w:val="24"/>
          <w:szCs w:val="24"/>
          <w:lang w:val="hy-AM"/>
        </w:rPr>
        <w:t xml:space="preserve"> վերաբերյալ</w:t>
      </w:r>
      <w:r w:rsidR="006368D6" w:rsidRPr="00D96D9D">
        <w:rPr>
          <w:rFonts w:ascii="GHEA Grapalat" w:hAnsi="GHEA Grapalat" w:cs="Arial"/>
          <w:sz w:val="24"/>
          <w:szCs w:val="24"/>
          <w:lang w:val="hy-AM"/>
        </w:rPr>
        <w:t>.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B955B3" w14:textId="37FBEB23" w:rsidR="00097355" w:rsidRPr="00E62261" w:rsidRDefault="00097355" w:rsidP="008E09C8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t>Պորտֆելի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նկարագրությունը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62261">
        <w:rPr>
          <w:rFonts w:ascii="GHEA Grapalat" w:hAnsi="GHEA Grapalat" w:cs="Arial"/>
          <w:sz w:val="24"/>
          <w:szCs w:val="24"/>
          <w:lang w:val="hy-AM"/>
        </w:rPr>
        <w:t>չափը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261">
        <w:rPr>
          <w:rFonts w:ascii="GHEA Grapalat" w:hAnsi="GHEA Grapalat" w:cs="Arial"/>
          <w:sz w:val="24"/>
          <w:szCs w:val="24"/>
          <w:lang w:val="hy-AM"/>
        </w:rPr>
        <w:t>կատարողականը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261">
        <w:rPr>
          <w:rFonts w:ascii="GHEA Grapalat" w:hAnsi="GHEA Grapalat" w:cs="Arial"/>
          <w:sz w:val="24"/>
          <w:szCs w:val="24"/>
          <w:lang w:val="hy-AM"/>
        </w:rPr>
        <w:t>դերը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տնտեսության մեջ</w:t>
      </w:r>
      <w:r w:rsidRPr="00E62261">
        <w:rPr>
          <w:rFonts w:ascii="GHEA Grapalat" w:hAnsi="GHEA Grapalat"/>
          <w:sz w:val="24"/>
          <w:szCs w:val="24"/>
          <w:lang w:val="hy-AM"/>
        </w:rPr>
        <w:t>)</w:t>
      </w:r>
      <w:r w:rsidR="000F3FEF" w:rsidRPr="00E62261">
        <w:rPr>
          <w:rFonts w:ascii="GHEA Grapalat" w:hAnsi="GHEA Grapalat"/>
          <w:sz w:val="24"/>
          <w:szCs w:val="24"/>
          <w:lang w:val="hy-AM"/>
        </w:rPr>
        <w:t>.</w:t>
      </w:r>
    </w:p>
    <w:p w14:paraId="3E196A6D" w14:textId="7BC6D06C" w:rsidR="00097355" w:rsidRPr="00E62261" w:rsidRDefault="00BA4488" w:rsidP="008E09C8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626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12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626D">
        <w:rPr>
          <w:rFonts w:ascii="GHEA Grapalat" w:hAnsi="GHEA Grapalat" w:cs="Arial"/>
          <w:sz w:val="24"/>
          <w:szCs w:val="24"/>
          <w:lang w:val="hy-AM"/>
        </w:rPr>
        <w:t>ֆինանսական և ոչ ֆինանսական</w:t>
      </w:r>
      <w:r w:rsidRPr="0012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626D">
        <w:rPr>
          <w:rFonts w:ascii="GHEA Grapalat" w:hAnsi="GHEA Grapalat" w:cs="Arial"/>
          <w:sz w:val="24"/>
          <w:szCs w:val="24"/>
          <w:lang w:val="hy-AM"/>
        </w:rPr>
        <w:t>ցուցանիշները</w:t>
      </w:r>
      <w:r>
        <w:rPr>
          <w:rFonts w:ascii="GHEA Grapalat" w:hAnsi="GHEA Grapalat" w:cs="Arial"/>
          <w:sz w:val="24"/>
          <w:szCs w:val="24"/>
          <w:lang w:val="hy-AM"/>
        </w:rPr>
        <w:t>՝ ա</w:t>
      </w:r>
      <w:r w:rsidRPr="00B25BAC">
        <w:rPr>
          <w:rFonts w:ascii="GHEA Grapalat" w:hAnsi="GHEA Grapalat" w:cs="Arial"/>
          <w:sz w:val="24"/>
          <w:szCs w:val="24"/>
          <w:lang w:val="hy-AM"/>
        </w:rPr>
        <w:t>մփոփ</w:t>
      </w:r>
      <w:r>
        <w:rPr>
          <w:rFonts w:ascii="GHEA Grapalat" w:hAnsi="GHEA Grapalat"/>
          <w:sz w:val="24"/>
          <w:szCs w:val="24"/>
          <w:lang w:val="hy-AM"/>
        </w:rPr>
        <w:t>, ինչպես նաև</w:t>
      </w:r>
      <w:r w:rsidRPr="00B25BA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առանձին </w:t>
      </w:r>
      <w:r w:rsidRPr="00B25BAC">
        <w:rPr>
          <w:rFonts w:ascii="GHEA Grapalat" w:hAnsi="GHEA Grapalat" w:cs="Arial"/>
          <w:sz w:val="24"/>
          <w:szCs w:val="24"/>
          <w:lang w:val="hy-AM"/>
        </w:rPr>
        <w:t>խոշոր</w:t>
      </w:r>
      <w:r w:rsidRPr="00B25B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5BAC">
        <w:rPr>
          <w:rFonts w:ascii="GHEA Grapalat" w:hAnsi="GHEA Grapalat" w:cs="Arial"/>
          <w:sz w:val="24"/>
          <w:szCs w:val="24"/>
          <w:lang w:val="hy-AM"/>
        </w:rPr>
        <w:t>ընկերությունների</w:t>
      </w:r>
      <w:r w:rsidRPr="00B25B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5BAC">
        <w:rPr>
          <w:rFonts w:ascii="GHEA Grapalat" w:hAnsi="GHEA Grapalat" w:cs="Arial"/>
          <w:sz w:val="24"/>
          <w:szCs w:val="24"/>
          <w:lang w:val="hy-AM"/>
        </w:rPr>
        <w:t>համար</w:t>
      </w:r>
      <w:r w:rsidR="000F3FEF" w:rsidRPr="00E62261">
        <w:rPr>
          <w:rFonts w:ascii="GHEA Grapalat" w:hAnsi="GHEA Grapalat" w:cs="Arial"/>
          <w:sz w:val="24"/>
          <w:szCs w:val="24"/>
          <w:lang w:val="hy-AM"/>
        </w:rPr>
        <w:t>.</w:t>
      </w:r>
    </w:p>
    <w:p w14:paraId="7014AC7E" w14:textId="1536AA03" w:rsidR="00097355" w:rsidRPr="00E62261" w:rsidRDefault="00097355" w:rsidP="008E09C8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t>ՊՄԸ</w:t>
      </w:r>
      <w:r w:rsidRPr="00E62261">
        <w:rPr>
          <w:rFonts w:ascii="GHEA Grapalat" w:hAnsi="GHEA Grapalat"/>
          <w:sz w:val="24"/>
          <w:szCs w:val="24"/>
          <w:lang w:val="hy-AM"/>
        </w:rPr>
        <w:t>-</w:t>
      </w:r>
      <w:r w:rsidRPr="00E62261">
        <w:rPr>
          <w:rFonts w:ascii="GHEA Grapalat" w:hAnsi="GHEA Grapalat" w:cs="Arial"/>
          <w:sz w:val="24"/>
          <w:szCs w:val="24"/>
          <w:lang w:val="hy-AM"/>
        </w:rPr>
        <w:t>ների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խորհուրդների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տեղեկատվություն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261">
        <w:rPr>
          <w:rFonts w:ascii="GHEA Grapalat" w:hAnsi="GHEA Grapalat" w:cs="Arial"/>
          <w:sz w:val="24"/>
          <w:szCs w:val="24"/>
          <w:lang w:val="hy-AM"/>
        </w:rPr>
        <w:t>այդ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թվում</w:t>
      </w:r>
      <w:r w:rsidR="0010280D">
        <w:rPr>
          <w:rFonts w:ascii="GHEA Grapalat" w:hAnsi="GHEA Grapalat" w:cs="Arial"/>
          <w:sz w:val="24"/>
          <w:szCs w:val="24"/>
          <w:lang w:val="hy-AM"/>
        </w:rPr>
        <w:t>՝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6D9D">
        <w:rPr>
          <w:rFonts w:ascii="GHEA Grapalat" w:hAnsi="GHEA Grapalat" w:cs="Arial"/>
          <w:sz w:val="24"/>
          <w:szCs w:val="24"/>
          <w:lang w:val="hy-AM"/>
        </w:rPr>
        <w:t>տեղի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ունեցած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10280D">
        <w:rPr>
          <w:rFonts w:ascii="GHEA Grapalat" w:hAnsi="GHEA Grapalat" w:cs="Arial"/>
          <w:sz w:val="24"/>
          <w:szCs w:val="24"/>
          <w:lang w:val="hy-AM"/>
        </w:rPr>
        <w:t>ը</w:t>
      </w:r>
      <w:r w:rsidR="000F3FEF" w:rsidRPr="00D96D9D">
        <w:rPr>
          <w:rFonts w:ascii="GHEA Grapalat" w:hAnsi="GHEA Grapalat" w:cs="Arial"/>
          <w:sz w:val="24"/>
          <w:szCs w:val="24"/>
          <w:lang w:val="hy-AM"/>
        </w:rPr>
        <w:t>.</w:t>
      </w:r>
    </w:p>
    <w:p w14:paraId="642A46E5" w14:textId="1ACD7C7F" w:rsidR="00097355" w:rsidRPr="00E62261" w:rsidRDefault="0010280D" w:rsidP="008E09C8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Ժ</w:t>
      </w:r>
      <w:r w:rsidRPr="00F637C6">
        <w:rPr>
          <w:rFonts w:ascii="GHEA Grapalat" w:hAnsi="GHEA Grapalat" w:cs="Arial"/>
          <w:sz w:val="24"/>
          <w:szCs w:val="24"/>
          <w:lang w:val="hy-AM"/>
        </w:rPr>
        <w:t>ողովների</w:t>
      </w:r>
      <w:r w:rsidRPr="00F637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37C6">
        <w:rPr>
          <w:rFonts w:ascii="GHEA Grapalat" w:hAnsi="GHEA Grapalat" w:cs="Arial"/>
          <w:sz w:val="24"/>
          <w:szCs w:val="24"/>
          <w:lang w:val="hy-AM"/>
        </w:rPr>
        <w:t>քվեարկության</w:t>
      </w:r>
      <w:r w:rsidRPr="00F637C6">
        <w:rPr>
          <w:rFonts w:ascii="GHEA Grapalat" w:hAnsi="GHEA Grapalat"/>
          <w:sz w:val="24"/>
          <w:szCs w:val="24"/>
          <w:lang w:val="hy-AM"/>
        </w:rPr>
        <w:t xml:space="preserve"> ընթացա</w:t>
      </w:r>
      <w:r w:rsidRPr="00F637C6">
        <w:rPr>
          <w:rFonts w:ascii="GHEA Grapalat" w:hAnsi="GHEA Grapalat" w:cs="Arial"/>
          <w:sz w:val="24"/>
          <w:szCs w:val="24"/>
          <w:lang w:val="hy-AM"/>
        </w:rPr>
        <w:t>կարգերը</w:t>
      </w:r>
      <w:r w:rsidRPr="00D96D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="00097355" w:rsidRPr="00D96D9D">
        <w:rPr>
          <w:rFonts w:ascii="GHEA Grapalat" w:hAnsi="GHEA Grapalat" w:cs="Arial"/>
          <w:sz w:val="24"/>
          <w:szCs w:val="24"/>
          <w:lang w:val="hy-AM"/>
        </w:rPr>
        <w:t>յն</w:t>
      </w:r>
      <w:r w:rsidR="00097355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355" w:rsidRPr="00E62261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="00097355" w:rsidRPr="00E6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97355" w:rsidRPr="00E62261">
        <w:rPr>
          <w:rFonts w:ascii="GHEA Grapalat" w:hAnsi="GHEA Grapalat" w:cs="Arial"/>
          <w:sz w:val="24"/>
          <w:szCs w:val="24"/>
          <w:lang w:val="hy-AM"/>
        </w:rPr>
        <w:t>երբ</w:t>
      </w:r>
      <w:r w:rsidR="00097355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355" w:rsidRPr="00E62261">
        <w:rPr>
          <w:rFonts w:ascii="GHEA Grapalat" w:hAnsi="GHEA Grapalat" w:cs="Arial"/>
          <w:sz w:val="24"/>
          <w:szCs w:val="24"/>
          <w:lang w:val="hy-AM"/>
        </w:rPr>
        <w:t>առկա</w:t>
      </w:r>
      <w:r w:rsidR="00097355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355" w:rsidRPr="00E62261">
        <w:rPr>
          <w:rFonts w:ascii="GHEA Grapalat" w:hAnsi="GHEA Grapalat" w:cs="Arial"/>
          <w:sz w:val="24"/>
          <w:szCs w:val="24"/>
          <w:lang w:val="hy-AM"/>
        </w:rPr>
        <w:t>են</w:t>
      </w:r>
      <w:r>
        <w:rPr>
          <w:rFonts w:ascii="GHEA Grapalat" w:hAnsi="GHEA Grapalat" w:cs="Arial"/>
          <w:sz w:val="24"/>
          <w:szCs w:val="24"/>
          <w:lang w:val="hy-AM"/>
        </w:rPr>
        <w:t xml:space="preserve"> նաև</w:t>
      </w:r>
      <w:r w:rsidR="00097355" w:rsidRPr="00D96D9D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355" w:rsidRPr="00D96D9D">
        <w:rPr>
          <w:rFonts w:ascii="GHEA Grapalat" w:hAnsi="GHEA Grapalat" w:cs="Arial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97355" w:rsidRPr="00D96D9D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97355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355" w:rsidRPr="00E62261">
        <w:rPr>
          <w:rFonts w:ascii="GHEA Grapalat" w:hAnsi="GHEA Grapalat" w:cs="Arial"/>
          <w:sz w:val="24"/>
          <w:szCs w:val="24"/>
          <w:lang w:val="hy-AM"/>
        </w:rPr>
        <w:t>բաժնեմասեր</w:t>
      </w:r>
      <w:r w:rsidR="000F3FEF" w:rsidRPr="00E62261">
        <w:rPr>
          <w:rFonts w:ascii="GHEA Grapalat" w:hAnsi="GHEA Grapalat" w:cs="Arial"/>
          <w:sz w:val="24"/>
          <w:szCs w:val="24"/>
          <w:lang w:val="hy-AM"/>
        </w:rPr>
        <w:t>.</w:t>
      </w:r>
    </w:p>
    <w:p w14:paraId="44EEB966" w14:textId="7063974A" w:rsidR="00097355" w:rsidRPr="00E62261" w:rsidRDefault="00097355" w:rsidP="008E09C8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2261">
        <w:rPr>
          <w:rFonts w:ascii="GHEA Grapalat" w:hAnsi="GHEA Grapalat" w:cs="Arial"/>
          <w:sz w:val="24"/>
          <w:szCs w:val="24"/>
          <w:lang w:val="hy-AM"/>
        </w:rPr>
        <w:t>Ռիսկերը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և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փոխկապակցված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80D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0280D" w:rsidRPr="00D96D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6D9D">
        <w:rPr>
          <w:rFonts w:ascii="GHEA Grapalat" w:hAnsi="GHEA Grapalat" w:cs="Arial"/>
          <w:sz w:val="24"/>
          <w:szCs w:val="24"/>
          <w:lang w:val="hy-AM"/>
        </w:rPr>
        <w:t>հետ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261">
        <w:rPr>
          <w:rFonts w:ascii="GHEA Grapalat" w:hAnsi="GHEA Grapalat" w:cs="Arial"/>
          <w:sz w:val="24"/>
          <w:szCs w:val="24"/>
          <w:lang w:val="hy-AM"/>
        </w:rPr>
        <w:t>գործարքները։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2316A64" w14:textId="77777777" w:rsidR="00223BE5" w:rsidRPr="00E62261" w:rsidRDefault="00223BE5" w:rsidP="008E09C8">
      <w:pPr>
        <w:spacing w:after="0" w:line="276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B5E7EC4" w14:textId="77777777" w:rsidR="00D96D9D" w:rsidRDefault="00D96D9D">
      <w:pPr>
        <w:spacing w:after="160" w:line="259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br w:type="page"/>
      </w:r>
    </w:p>
    <w:p w14:paraId="55C94C32" w14:textId="1F1DF576" w:rsidR="003C53B3" w:rsidRPr="00D96D9D" w:rsidRDefault="003C53B3" w:rsidP="008E09C8">
      <w:pPr>
        <w:spacing w:after="0" w:line="276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96D9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ՊՄԸ-ների արդյունավետ վերահսկողության շրջանակը</w:t>
      </w:r>
    </w:p>
    <w:p w14:paraId="267D108D" w14:textId="37AFE5A6" w:rsidR="003C53B3" w:rsidRPr="00E62261" w:rsidRDefault="003C53B3" w:rsidP="008E09C8">
      <w:pPr>
        <w:spacing w:after="0" w:line="276" w:lineRule="auto"/>
        <w:ind w:firstLine="567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E62261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Գծապատկեր </w:t>
      </w:r>
      <w:r w:rsidR="00D96D9D" w:rsidRPr="008E09C8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D96D9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26F0CAC4" w14:textId="77777777" w:rsidR="003C53B3" w:rsidRPr="00D96D9D" w:rsidRDefault="003C53B3" w:rsidP="008E09C8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716DC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E9F7700" wp14:editId="46A524E0">
            <wp:simplePos x="0" y="0"/>
            <wp:positionH relativeFrom="column">
              <wp:posOffset>367731</wp:posOffset>
            </wp:positionH>
            <wp:positionV relativeFrom="paragraph">
              <wp:posOffset>38560</wp:posOffset>
            </wp:positionV>
            <wp:extent cx="5328745" cy="3846786"/>
            <wp:effectExtent l="0" t="38100" r="0" b="59055"/>
            <wp:wrapTopAndBottom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3D05A" w14:textId="5CFCE8B5" w:rsidR="00097355" w:rsidRPr="00E62261" w:rsidRDefault="00097355" w:rsidP="008E09C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2C557B5E" w14:textId="45E72E31" w:rsidR="00097355" w:rsidRPr="008E09C8" w:rsidRDefault="00F11811" w:rsidP="008E09C8">
      <w:pPr>
        <w:spacing w:line="276" w:lineRule="auto"/>
        <w:ind w:left="360"/>
        <w:jc w:val="center"/>
        <w:rPr>
          <w:rFonts w:ascii="GHEA Grapalat" w:hAnsi="GHEA Grapalat"/>
          <w:b/>
          <w:color w:val="215E99" w:themeColor="text2" w:themeTint="BF"/>
          <w:sz w:val="28"/>
          <w:szCs w:val="28"/>
          <w:lang w:val="hy-AM"/>
        </w:rPr>
      </w:pPr>
      <w:bookmarkStart w:id="6" w:name="_Toc162281635"/>
      <w:r w:rsidRPr="00F11811">
        <w:rPr>
          <w:rFonts w:ascii="GHEA Grapalat" w:hAnsi="GHEA Grapalat"/>
          <w:b/>
          <w:color w:val="215E99" w:themeColor="text2" w:themeTint="BF"/>
          <w:sz w:val="28"/>
          <w:szCs w:val="28"/>
          <w:lang w:val="hy-AM"/>
        </w:rPr>
        <w:t>4</w:t>
      </w:r>
      <w:r w:rsidR="00FA6E10" w:rsidRPr="00F11811">
        <w:rPr>
          <w:rFonts w:ascii="Cambria Math" w:hAnsi="Cambria Math" w:cs="Cambria Math"/>
          <w:b/>
          <w:color w:val="215E99" w:themeColor="text2" w:themeTint="BF"/>
          <w:sz w:val="28"/>
          <w:szCs w:val="28"/>
          <w:lang w:val="hy-AM"/>
        </w:rPr>
        <w:t>․</w:t>
      </w:r>
      <w:r w:rsidR="00FA6E10" w:rsidRPr="008E09C8">
        <w:rPr>
          <w:rFonts w:ascii="GHEA Grapalat" w:hAnsi="GHEA Grapalat"/>
          <w:b/>
          <w:color w:val="215E99" w:themeColor="text2" w:themeTint="BF"/>
          <w:sz w:val="28"/>
          <w:szCs w:val="28"/>
          <w:lang w:val="hy-AM"/>
        </w:rPr>
        <w:t xml:space="preserve"> </w:t>
      </w:r>
      <w:r w:rsidR="007E2892" w:rsidRPr="008E09C8">
        <w:rPr>
          <w:rFonts w:ascii="GHEA Grapalat" w:hAnsi="GHEA Grapalat"/>
          <w:b/>
          <w:color w:val="215E99" w:themeColor="text2" w:themeTint="BF"/>
          <w:sz w:val="28"/>
          <w:szCs w:val="28"/>
          <w:lang w:val="hy-AM"/>
        </w:rPr>
        <w:t>ԱՌԱ</w:t>
      </w:r>
      <w:r w:rsidR="00203968" w:rsidRPr="008E09C8">
        <w:rPr>
          <w:rFonts w:ascii="GHEA Grapalat" w:hAnsi="GHEA Grapalat"/>
          <w:b/>
          <w:color w:val="215E99" w:themeColor="text2" w:themeTint="BF"/>
          <w:sz w:val="28"/>
          <w:szCs w:val="28"/>
          <w:lang w:val="hy-AM"/>
        </w:rPr>
        <w:t>ՋԱՐԿՎՈՂ</w:t>
      </w:r>
      <w:bookmarkEnd w:id="6"/>
      <w:r w:rsidR="00A716DC">
        <w:rPr>
          <w:rFonts w:ascii="GHEA Grapalat" w:hAnsi="GHEA Grapalat"/>
          <w:b/>
          <w:color w:val="215E99" w:themeColor="text2" w:themeTint="BF"/>
          <w:sz w:val="28"/>
          <w:szCs w:val="28"/>
          <w:lang w:val="hy-AM"/>
        </w:rPr>
        <w:t xml:space="preserve"> ՀԵՏԱԳԱ ՔԱՅԼԵՐ</w:t>
      </w:r>
    </w:p>
    <w:p w14:paraId="666A8882" w14:textId="77777777" w:rsidR="00097355" w:rsidRPr="00D96D9D" w:rsidRDefault="00097355" w:rsidP="008E09C8">
      <w:pPr>
        <w:autoSpaceDE w:val="0"/>
        <w:autoSpaceDN w:val="0"/>
        <w:adjustRightInd w:val="0"/>
        <w:spacing w:after="0" w:line="276" w:lineRule="auto"/>
        <w:rPr>
          <w:rFonts w:ascii="GHEA Grapalat" w:hAnsi="GHEA Grapalat" w:cs="CIDFont+F3"/>
          <w:color w:val="000000"/>
          <w:sz w:val="19"/>
          <w:szCs w:val="19"/>
          <w:lang w:val="hy-AM"/>
        </w:rPr>
      </w:pPr>
    </w:p>
    <w:p w14:paraId="4C2B1352" w14:textId="44909C25" w:rsidR="00097355" w:rsidRPr="00E62261" w:rsidRDefault="00097355" w:rsidP="00EF7F93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96D9D">
        <w:rPr>
          <w:rFonts w:ascii="GHEA Grapalat" w:hAnsi="GHEA Grapalat"/>
          <w:sz w:val="24"/>
          <w:szCs w:val="24"/>
          <w:lang w:val="hy-AM"/>
        </w:rPr>
        <w:t xml:space="preserve">Ստորև գծապատկերում ներկայացված է ընկերությունների դասակարգման համար </w:t>
      </w:r>
      <w:r w:rsidR="00527E0A">
        <w:rPr>
          <w:rFonts w:ascii="GHEA Grapalat" w:hAnsi="GHEA Grapalat"/>
          <w:sz w:val="24"/>
          <w:szCs w:val="24"/>
          <w:lang w:val="hy-AM"/>
        </w:rPr>
        <w:t xml:space="preserve">առաջարկվող տրամաբանական շղթան։ 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Առաջարկվում է առաջնային դիտարկել </w:t>
      </w:r>
      <w:r w:rsidR="00EF7F93">
        <w:rPr>
          <w:rFonts w:ascii="GHEA Grapalat" w:hAnsi="GHEA Grapalat"/>
          <w:sz w:val="24"/>
          <w:szCs w:val="24"/>
          <w:lang w:val="hy-AM"/>
        </w:rPr>
        <w:t>ա</w:t>
      </w:r>
      <w:r w:rsidRPr="00E62261">
        <w:rPr>
          <w:rFonts w:ascii="GHEA Grapalat" w:hAnsi="GHEA Grapalat"/>
          <w:sz w:val="24"/>
          <w:szCs w:val="24"/>
          <w:lang w:val="hy-AM"/>
        </w:rPr>
        <w:t>յն ընկերությունները</w:t>
      </w:r>
      <w:r w:rsidR="00A9711C" w:rsidRPr="00E62261">
        <w:rPr>
          <w:rFonts w:ascii="GHEA Grapalat" w:hAnsi="GHEA Grapalat"/>
          <w:sz w:val="24"/>
          <w:szCs w:val="24"/>
          <w:lang w:val="hy-AM"/>
        </w:rPr>
        <w:t>,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որոնք համապատասխանում </w:t>
      </w:r>
      <w:r w:rsidR="00220EAC" w:rsidRPr="00E62261">
        <w:rPr>
          <w:rFonts w:ascii="GHEA Grapalat" w:hAnsi="GHEA Grapalat"/>
          <w:sz w:val="24"/>
          <w:szCs w:val="24"/>
          <w:lang w:val="hy-AM"/>
        </w:rPr>
        <w:t>են</w:t>
      </w:r>
      <w:r w:rsidR="00376756" w:rsidRPr="00E6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2AC7">
        <w:rPr>
          <w:rFonts w:ascii="GHEA Grapalat" w:hAnsi="GHEA Grapalat"/>
          <w:sz w:val="24"/>
          <w:szCs w:val="24"/>
          <w:lang w:val="hy-AM"/>
        </w:rPr>
        <w:t>ԿՖՎՁ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սահմանմանը</w:t>
      </w:r>
      <w:r w:rsidR="006C79AF" w:rsidRPr="008E09C8">
        <w:rPr>
          <w:rFonts w:ascii="GHEA Grapalat" w:hAnsi="GHEA Grapalat"/>
          <w:sz w:val="24"/>
          <w:szCs w:val="24"/>
          <w:lang w:val="hy-AM"/>
        </w:rPr>
        <w:t>,</w:t>
      </w:r>
      <w:r w:rsidRPr="00D96D9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E2892" w:rsidRPr="00D96D9D">
        <w:rPr>
          <w:rFonts w:ascii="GHEA Grapalat" w:hAnsi="GHEA Grapalat"/>
          <w:sz w:val="24"/>
          <w:szCs w:val="24"/>
          <w:lang w:val="hy-AM"/>
        </w:rPr>
        <w:t>առկա</w:t>
      </w:r>
      <w:r w:rsidRPr="00E62261">
        <w:rPr>
          <w:rFonts w:ascii="GHEA Grapalat" w:hAnsi="GHEA Grapalat"/>
          <w:sz w:val="24"/>
          <w:szCs w:val="24"/>
          <w:lang w:val="hy-AM"/>
        </w:rPr>
        <w:t xml:space="preserve"> է հետևյալ չափանիշներից առնվազն երկուսը</w:t>
      </w:r>
      <w:r w:rsidR="00EF7F93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1EA09FCF" w14:textId="5E336299" w:rsidR="006C79AF" w:rsidRPr="008E09C8" w:rsidRDefault="006C79AF" w:rsidP="008E09C8">
      <w:pPr>
        <w:pStyle w:val="ListParagraph"/>
        <w:numPr>
          <w:ilvl w:val="1"/>
          <w:numId w:val="30"/>
        </w:numPr>
        <w:spacing w:after="0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10 մլրդ դրամը գերազանցող ակտիվներ</w:t>
      </w:r>
      <w:r w:rsidR="004879EF">
        <w:rPr>
          <w:rFonts w:ascii="GHEA Grapalat" w:hAnsi="GHEA Grapalat"/>
          <w:sz w:val="24"/>
          <w:szCs w:val="24"/>
          <w:lang w:val="hy-AM"/>
        </w:rPr>
        <w:t>ի հաշվեկշռային արժեք</w:t>
      </w:r>
      <w:r w:rsidRPr="008E09C8">
        <w:rPr>
          <w:rFonts w:ascii="GHEA Grapalat" w:hAnsi="GHEA Grapalat"/>
          <w:sz w:val="24"/>
          <w:szCs w:val="24"/>
          <w:lang w:val="hy-AM"/>
        </w:rPr>
        <w:t>.</w:t>
      </w:r>
    </w:p>
    <w:p w14:paraId="131F95E7" w14:textId="1EBC02B7" w:rsidR="006C79AF" w:rsidRPr="008E09C8" w:rsidRDefault="006C79AF" w:rsidP="008E09C8">
      <w:pPr>
        <w:pStyle w:val="ListParagraph"/>
        <w:numPr>
          <w:ilvl w:val="1"/>
          <w:numId w:val="30"/>
        </w:numPr>
        <w:spacing w:after="0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1 մլրդ դրամը գերազանցող բյուջետային վարկեր կամ պետական երաշխիքներ.</w:t>
      </w:r>
    </w:p>
    <w:p w14:paraId="3DC68042" w14:textId="6AD48617" w:rsidR="006C79AF" w:rsidRPr="008E09C8" w:rsidRDefault="006C79AF" w:rsidP="008E09C8">
      <w:pPr>
        <w:pStyle w:val="ListParagraph"/>
        <w:numPr>
          <w:ilvl w:val="1"/>
          <w:numId w:val="30"/>
        </w:numPr>
        <w:spacing w:after="0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 xml:space="preserve">500 մլն դրամը գերազանցող </w:t>
      </w:r>
      <w:r w:rsidR="00356643">
        <w:rPr>
          <w:rFonts w:ascii="GHEA Grapalat" w:hAnsi="GHEA Grapalat"/>
          <w:sz w:val="24"/>
          <w:szCs w:val="24"/>
          <w:lang w:val="hy-AM"/>
        </w:rPr>
        <w:t xml:space="preserve">կուտակված </w:t>
      </w:r>
      <w:r w:rsidRPr="008E09C8">
        <w:rPr>
          <w:rFonts w:ascii="GHEA Grapalat" w:hAnsi="GHEA Grapalat"/>
          <w:sz w:val="24"/>
          <w:szCs w:val="24"/>
          <w:lang w:val="hy-AM"/>
        </w:rPr>
        <w:t>զուտ վնաս:</w:t>
      </w:r>
    </w:p>
    <w:p w14:paraId="4689F0C4" w14:textId="77777777" w:rsidR="00097355" w:rsidRPr="00D96D9D" w:rsidRDefault="00097355" w:rsidP="008E09C8">
      <w:pPr>
        <w:autoSpaceDE w:val="0"/>
        <w:autoSpaceDN w:val="0"/>
        <w:adjustRightInd w:val="0"/>
        <w:spacing w:after="0" w:line="276" w:lineRule="auto"/>
        <w:rPr>
          <w:rFonts w:ascii="GHEA Grapalat" w:hAnsi="GHEA Grapalat" w:cs="CIDFont+F3"/>
          <w:sz w:val="19"/>
          <w:szCs w:val="19"/>
          <w:lang w:val="hy-AM"/>
        </w:rPr>
      </w:pPr>
    </w:p>
    <w:p w14:paraId="30DD42EA" w14:textId="77777777" w:rsidR="00202AC7" w:rsidRDefault="00202AC7" w:rsidP="003C53B3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6356D41" w14:textId="6618822A" w:rsidR="00202AC7" w:rsidRDefault="00202AC7" w:rsidP="003C53B3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546617E" w14:textId="15DF0278" w:rsidR="00527E0A" w:rsidRDefault="00527E0A" w:rsidP="003C53B3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76E6A32" w14:textId="69C5DD19" w:rsidR="00527E0A" w:rsidRDefault="00527E0A" w:rsidP="003C53B3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6BFF660" w14:textId="77777777" w:rsidR="00527E0A" w:rsidRDefault="00527E0A" w:rsidP="003C53B3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42ED789" w14:textId="77777777" w:rsidR="00202AC7" w:rsidRDefault="00202AC7" w:rsidP="003C53B3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1E1FD8A" w14:textId="5D4E6969" w:rsidR="003C53B3" w:rsidRPr="00E62261" w:rsidRDefault="003C53B3" w:rsidP="003C53B3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2261">
        <w:rPr>
          <w:rFonts w:ascii="GHEA Grapalat" w:hAnsi="GHEA Grapalat"/>
          <w:b/>
          <w:sz w:val="24"/>
          <w:szCs w:val="24"/>
          <w:lang w:val="hy-AM"/>
        </w:rPr>
        <w:lastRenderedPageBreak/>
        <w:t>«ԿՖՎՁ 2014» ՊՄԸ սահմանման հիմքով որոշումների տրամաբանական շղթան</w:t>
      </w:r>
    </w:p>
    <w:p w14:paraId="557E99E2" w14:textId="76F3F2AA" w:rsidR="00097355" w:rsidRPr="008E09C8" w:rsidRDefault="003C53B3" w:rsidP="00744A45">
      <w:pPr>
        <w:spacing w:line="276" w:lineRule="auto"/>
        <w:jc w:val="right"/>
        <w:rPr>
          <w:rFonts w:ascii="GHEA Grapalat" w:hAnsi="GHEA Grapalat" w:cs="CIDFont+F1"/>
          <w:b/>
          <w:color w:val="004C98"/>
          <w:sz w:val="21"/>
          <w:szCs w:val="21"/>
          <w:lang w:val="hy-AM"/>
        </w:rPr>
      </w:pPr>
      <w:r w:rsidRPr="00A716DC">
        <w:rPr>
          <w:rFonts w:ascii="GHEA Grapalat" w:hAnsi="GHEA Grapalat"/>
          <w:bCs/>
          <w:smallCaps/>
          <w:noProof/>
          <w:color w:val="595959"/>
          <w:spacing w:val="6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67D484D" wp14:editId="1F4B8512">
            <wp:simplePos x="0" y="0"/>
            <wp:positionH relativeFrom="column">
              <wp:posOffset>-263525</wp:posOffset>
            </wp:positionH>
            <wp:positionV relativeFrom="paragraph">
              <wp:posOffset>342900</wp:posOffset>
            </wp:positionV>
            <wp:extent cx="7102475" cy="4837430"/>
            <wp:effectExtent l="0" t="0" r="3175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Ակտիվների վաճառք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16"/>
                    <a:stretch/>
                  </pic:blipFill>
                  <pic:spPr bwMode="auto">
                    <a:xfrm>
                      <a:off x="0" y="0"/>
                      <a:ext cx="7102475" cy="483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D9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8E09C8">
        <w:rPr>
          <w:rFonts w:ascii="GHEA Grapalat" w:eastAsia="Tahoma" w:hAnsi="GHEA Grapalat" w:cs="Tahoma"/>
          <w:b/>
          <w:sz w:val="24"/>
          <w:szCs w:val="24"/>
          <w:lang w:val="hy-AM"/>
        </w:rPr>
        <w:t>Գծապատկեր</w:t>
      </w:r>
      <w:r w:rsidR="00D96D9D" w:rsidRPr="008E09C8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5.</w:t>
      </w:r>
      <w:r w:rsidRPr="008E09C8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</w:p>
    <w:p w14:paraId="711FB6D9" w14:textId="77777777" w:rsidR="00202AC7" w:rsidRDefault="00202AC7" w:rsidP="008E09C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A71D6EC" w14:textId="15ECFC5B" w:rsidR="00097355" w:rsidRPr="008E09C8" w:rsidRDefault="00097355" w:rsidP="008E09C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Յուրաքանչյուր ՊՄԸ</w:t>
      </w:r>
      <w:r w:rsidR="007D05FA" w:rsidRPr="008E09C8">
        <w:rPr>
          <w:rFonts w:ascii="GHEA Grapalat" w:hAnsi="GHEA Grapalat"/>
          <w:sz w:val="24"/>
          <w:szCs w:val="24"/>
          <w:lang w:val="hy-AM"/>
        </w:rPr>
        <w:t>-ի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համար, հիմք ընդունելով նախորդ կետերով նախատեսված արդյունքները, ՖՆ-ն</w:t>
      </w:r>
      <w:r w:rsidR="00807F2A">
        <w:rPr>
          <w:rFonts w:ascii="GHEA Grapalat" w:hAnsi="GHEA Grapalat"/>
          <w:sz w:val="24"/>
          <w:szCs w:val="24"/>
          <w:lang w:val="hy-AM"/>
        </w:rPr>
        <w:t>,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A5C" w:rsidRPr="008E09C8">
        <w:rPr>
          <w:rFonts w:ascii="GHEA Grapalat" w:hAnsi="GHEA Grapalat"/>
          <w:sz w:val="24"/>
          <w:szCs w:val="24"/>
          <w:lang w:val="hy-AM"/>
        </w:rPr>
        <w:t>համակարգող մարմինը</w:t>
      </w:r>
      <w:r w:rsidR="00807F2A">
        <w:rPr>
          <w:rFonts w:ascii="GHEA Grapalat" w:hAnsi="GHEA Grapalat"/>
          <w:sz w:val="24"/>
          <w:szCs w:val="24"/>
          <w:lang w:val="hy-AM"/>
        </w:rPr>
        <w:t xml:space="preserve"> և ոլորտային պատասխանատու մարմինը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համատեղ ՀՀ կառավարությանը առաջարկում են </w:t>
      </w:r>
      <w:r w:rsidR="00202AC7">
        <w:rPr>
          <w:rFonts w:ascii="GHEA Grapalat" w:hAnsi="GHEA Grapalat"/>
          <w:sz w:val="24"/>
          <w:szCs w:val="24"/>
          <w:lang w:val="hy-AM"/>
        </w:rPr>
        <w:t>հետևյալ տարբերակներից որևէ մեկը՝</w:t>
      </w:r>
    </w:p>
    <w:p w14:paraId="6C4ED401" w14:textId="041A8D65" w:rsidR="00097355" w:rsidRPr="008E09C8" w:rsidRDefault="00097355" w:rsidP="008E09C8">
      <w:pPr>
        <w:numPr>
          <w:ilvl w:val="1"/>
          <w:numId w:val="31"/>
        </w:numPr>
        <w:spacing w:line="276" w:lineRule="auto"/>
        <w:ind w:left="993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 xml:space="preserve">ընկերությունը </w:t>
      </w:r>
      <w:r w:rsidR="00202AC7">
        <w:rPr>
          <w:rFonts w:ascii="GHEA Grapalat" w:hAnsi="GHEA Grapalat"/>
          <w:sz w:val="24"/>
          <w:szCs w:val="24"/>
          <w:lang w:val="hy-AM"/>
        </w:rPr>
        <w:t>պահպանել՝ որպես</w:t>
      </w:r>
      <w:r w:rsidRPr="008E09C8">
        <w:rPr>
          <w:rFonts w:ascii="GHEA Grapalat" w:hAnsi="GHEA Grapalat"/>
          <w:sz w:val="24"/>
          <w:szCs w:val="24"/>
          <w:lang w:val="hy-AM"/>
        </w:rPr>
        <w:t xml:space="preserve"> պետական սեփականություն.</w:t>
      </w:r>
    </w:p>
    <w:p w14:paraId="27281404" w14:textId="287EE9E3" w:rsidR="00097355" w:rsidRPr="008E09C8" w:rsidRDefault="00202AC7" w:rsidP="008E09C8">
      <w:pPr>
        <w:numPr>
          <w:ilvl w:val="1"/>
          <w:numId w:val="31"/>
        </w:numPr>
        <w:spacing w:line="276" w:lineRule="auto"/>
        <w:ind w:left="99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մասնավորեցնել / </w:t>
      </w:r>
      <w:r w:rsidR="00097355" w:rsidRPr="008E09C8">
        <w:rPr>
          <w:rFonts w:ascii="GHEA Grapalat" w:hAnsi="GHEA Grapalat"/>
          <w:sz w:val="24"/>
          <w:szCs w:val="24"/>
          <w:lang w:val="hy-AM"/>
        </w:rPr>
        <w:t>սեփականաշնորհել.</w:t>
      </w:r>
    </w:p>
    <w:p w14:paraId="4794956D" w14:textId="77777777" w:rsidR="00097355" w:rsidRPr="008E09C8" w:rsidRDefault="00097355" w:rsidP="008E09C8">
      <w:pPr>
        <w:numPr>
          <w:ilvl w:val="1"/>
          <w:numId w:val="31"/>
        </w:numPr>
        <w:spacing w:line="276" w:lineRule="auto"/>
        <w:ind w:left="993"/>
        <w:rPr>
          <w:rFonts w:ascii="GHEA Grapalat" w:hAnsi="GHEA Grapalat"/>
          <w:sz w:val="24"/>
          <w:szCs w:val="24"/>
          <w:lang w:val="hy-AM"/>
        </w:rPr>
      </w:pPr>
      <w:r w:rsidRPr="008E09C8">
        <w:rPr>
          <w:rFonts w:ascii="GHEA Grapalat" w:hAnsi="GHEA Grapalat"/>
          <w:sz w:val="24"/>
          <w:szCs w:val="24"/>
          <w:lang w:val="hy-AM"/>
        </w:rPr>
        <w:t>լուծարել.</w:t>
      </w:r>
    </w:p>
    <w:p w14:paraId="1AB9F033" w14:textId="31143B56" w:rsidR="00D96D9D" w:rsidRDefault="00202AC7" w:rsidP="00202AC7">
      <w:pPr>
        <w:numPr>
          <w:ilvl w:val="1"/>
          <w:numId w:val="31"/>
        </w:numPr>
        <w:spacing w:line="276" w:lineRule="auto"/>
        <w:ind w:left="99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վերակազմավորել։ </w:t>
      </w:r>
    </w:p>
    <w:p w14:paraId="5E652AA9" w14:textId="77777777" w:rsidR="00D96D9D" w:rsidRDefault="00D96D9D" w:rsidP="008E09C8">
      <w:pPr>
        <w:spacing w:line="276" w:lineRule="auto"/>
        <w:ind w:left="993"/>
        <w:rPr>
          <w:rFonts w:ascii="GHEA Grapalat" w:hAnsi="GHEA Grapalat"/>
          <w:sz w:val="24"/>
          <w:szCs w:val="24"/>
          <w:lang w:val="hy-AM"/>
        </w:rPr>
      </w:pPr>
    </w:p>
    <w:p w14:paraId="06922CED" w14:textId="77777777" w:rsidR="00D96D9D" w:rsidRDefault="00D96D9D" w:rsidP="008E09C8">
      <w:pPr>
        <w:spacing w:line="276" w:lineRule="auto"/>
        <w:ind w:left="993"/>
        <w:rPr>
          <w:rFonts w:ascii="GHEA Grapalat" w:hAnsi="GHEA Grapalat"/>
          <w:sz w:val="24"/>
          <w:szCs w:val="24"/>
          <w:lang w:val="hy-AM"/>
        </w:rPr>
      </w:pPr>
    </w:p>
    <w:p w14:paraId="6550DA7C" w14:textId="77777777" w:rsidR="00D96D9D" w:rsidRDefault="00D96D9D" w:rsidP="008E09C8">
      <w:pPr>
        <w:spacing w:line="276" w:lineRule="auto"/>
        <w:ind w:left="993"/>
        <w:rPr>
          <w:rFonts w:ascii="GHEA Grapalat" w:hAnsi="GHEA Grapalat"/>
          <w:sz w:val="24"/>
          <w:szCs w:val="24"/>
          <w:lang w:val="hy-AM"/>
        </w:rPr>
      </w:pPr>
    </w:p>
    <w:p w14:paraId="13B9DC39" w14:textId="1F89CD9A" w:rsidR="004C1A83" w:rsidRDefault="004C1A83" w:rsidP="008E09C8">
      <w:pPr>
        <w:spacing w:line="276" w:lineRule="auto"/>
        <w:ind w:left="993"/>
        <w:rPr>
          <w:rFonts w:ascii="GHEA Grapalat" w:hAnsi="GHEA Grapalat"/>
          <w:lang w:val="hy-AM"/>
        </w:rPr>
      </w:pPr>
    </w:p>
    <w:p w14:paraId="7F1307D8" w14:textId="2B1576E5" w:rsidR="004C1A83" w:rsidRPr="00EB6075" w:rsidRDefault="00EB6075" w:rsidP="00EB6075">
      <w:pPr>
        <w:jc w:val="center"/>
        <w:rPr>
          <w:rFonts w:ascii="GHEA Grapalat" w:hAnsi="GHEA Grapalat"/>
          <w:b/>
          <w:sz w:val="24"/>
          <w:lang w:val="hy-AM"/>
        </w:rPr>
      </w:pPr>
      <w:r w:rsidRPr="00EB6075">
        <w:rPr>
          <w:rFonts w:ascii="GHEA Grapalat" w:hAnsi="GHEA Grapalat"/>
          <w:b/>
          <w:sz w:val="24"/>
          <w:lang w:val="hy-AM"/>
        </w:rPr>
        <w:t>ՃԱՆԱՊԱՐՀԱՅԻՆ ՔԱՐՏԵԶ</w:t>
      </w:r>
    </w:p>
    <w:p w14:paraId="717F067B" w14:textId="77777777" w:rsidR="00EB6075" w:rsidRPr="00EB6075" w:rsidRDefault="00EB6075" w:rsidP="00EB6075">
      <w:pPr>
        <w:jc w:val="center"/>
        <w:rPr>
          <w:rFonts w:ascii="GHEA Grapalat" w:hAnsi="GHEA Grapalat"/>
          <w:b/>
          <w:color w:val="215E99" w:themeColor="text2" w:themeTint="BF"/>
          <w:sz w:val="24"/>
          <w:lang w:val="hy-AM"/>
        </w:rPr>
      </w:pPr>
    </w:p>
    <w:tbl>
      <w:tblPr>
        <w:tblW w:w="5016" w:type="pct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604"/>
        <w:gridCol w:w="661"/>
        <w:gridCol w:w="661"/>
        <w:gridCol w:w="661"/>
        <w:gridCol w:w="666"/>
        <w:gridCol w:w="666"/>
        <w:gridCol w:w="666"/>
      </w:tblGrid>
      <w:tr w:rsidR="001A3C48" w:rsidRPr="00E62261" w14:paraId="374695F9" w14:textId="28B2EAD0" w:rsidTr="001A3C48">
        <w:tc>
          <w:tcPr>
            <w:tcW w:w="1719" w:type="pct"/>
            <w:shd w:val="clear" w:color="auto" w:fill="auto"/>
          </w:tcPr>
          <w:p w14:paraId="2F5ACC6A" w14:textId="77777777" w:rsidR="001A3C48" w:rsidRPr="002D0DD9" w:rsidRDefault="001A3C48" w:rsidP="008E09C8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297" w:type="pct"/>
          </w:tcPr>
          <w:p w14:paraId="724121B6" w14:textId="349AC4A5" w:rsidR="001A3C48" w:rsidRPr="002D0DD9" w:rsidRDefault="001A3C48" w:rsidP="008E09C8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2D0DD9">
              <w:rPr>
                <w:rFonts w:ascii="GHEA Grapalat" w:hAnsi="GHEA Grapalat" w:cs="Arial"/>
                <w:lang w:val="hy-AM"/>
              </w:rPr>
              <w:t>Պատասխանատու մարմին/ներ</w:t>
            </w:r>
          </w:p>
        </w:tc>
        <w:tc>
          <w:tcPr>
            <w:tcW w:w="329" w:type="pct"/>
            <w:shd w:val="clear" w:color="auto" w:fill="auto"/>
          </w:tcPr>
          <w:p w14:paraId="4960DD24" w14:textId="428137A9" w:rsidR="001A3C48" w:rsidRPr="00D96D9D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D96D9D">
              <w:rPr>
                <w:rFonts w:ascii="GHEA Grapalat" w:hAnsi="GHEA Grapalat"/>
                <w:lang w:val="hy-AM"/>
              </w:rPr>
              <w:t>Q2 2024</w:t>
            </w:r>
          </w:p>
        </w:tc>
        <w:tc>
          <w:tcPr>
            <w:tcW w:w="329" w:type="pct"/>
            <w:shd w:val="clear" w:color="auto" w:fill="auto"/>
          </w:tcPr>
          <w:p w14:paraId="241097BB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62261">
              <w:rPr>
                <w:rFonts w:ascii="GHEA Grapalat" w:hAnsi="GHEA Grapalat"/>
                <w:lang w:val="hy-AM"/>
              </w:rPr>
              <w:t>Q3 2024</w:t>
            </w:r>
          </w:p>
        </w:tc>
        <w:tc>
          <w:tcPr>
            <w:tcW w:w="329" w:type="pct"/>
            <w:shd w:val="clear" w:color="auto" w:fill="auto"/>
          </w:tcPr>
          <w:p w14:paraId="2B9998C2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62261">
              <w:rPr>
                <w:rFonts w:ascii="GHEA Grapalat" w:hAnsi="GHEA Grapalat"/>
                <w:lang w:val="hy-AM"/>
              </w:rPr>
              <w:t>Q4 2024</w:t>
            </w:r>
          </w:p>
        </w:tc>
        <w:tc>
          <w:tcPr>
            <w:tcW w:w="332" w:type="pct"/>
            <w:shd w:val="clear" w:color="auto" w:fill="auto"/>
          </w:tcPr>
          <w:p w14:paraId="3E860A51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62261">
              <w:rPr>
                <w:rFonts w:ascii="GHEA Grapalat" w:hAnsi="GHEA Grapalat"/>
                <w:lang w:val="hy-AM"/>
              </w:rPr>
              <w:t>Q1 2025</w:t>
            </w:r>
          </w:p>
        </w:tc>
        <w:tc>
          <w:tcPr>
            <w:tcW w:w="332" w:type="pct"/>
          </w:tcPr>
          <w:p w14:paraId="5E8B755B" w14:textId="56E0B991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Q2</w:t>
            </w:r>
            <w:r w:rsidRPr="00E62261">
              <w:rPr>
                <w:rFonts w:ascii="GHEA Grapalat" w:hAnsi="GHEA Grapalat"/>
                <w:lang w:val="hy-AM"/>
              </w:rPr>
              <w:t xml:space="preserve"> 2025</w:t>
            </w:r>
          </w:p>
        </w:tc>
        <w:tc>
          <w:tcPr>
            <w:tcW w:w="332" w:type="pct"/>
          </w:tcPr>
          <w:p w14:paraId="72E6F784" w14:textId="629CCBF7" w:rsidR="001A3C48" w:rsidRDefault="001A3C48" w:rsidP="001A3C4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Q3</w:t>
            </w:r>
            <w:r w:rsidRPr="00E62261">
              <w:rPr>
                <w:rFonts w:ascii="GHEA Grapalat" w:hAnsi="GHEA Grapalat"/>
                <w:lang w:val="hy-AM"/>
              </w:rPr>
              <w:t xml:space="preserve"> 2025</w:t>
            </w:r>
          </w:p>
        </w:tc>
      </w:tr>
      <w:tr w:rsidR="001A3C48" w:rsidRPr="00E62261" w14:paraId="536AE817" w14:textId="21B26782" w:rsidTr="001A3C48">
        <w:tc>
          <w:tcPr>
            <w:tcW w:w="1719" w:type="pct"/>
            <w:shd w:val="clear" w:color="auto" w:fill="auto"/>
          </w:tcPr>
          <w:p w14:paraId="468FE169" w14:textId="77777777" w:rsidR="001A3C48" w:rsidRPr="00D96D9D" w:rsidRDefault="001A3C48" w:rsidP="008E09C8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Գործողությունների ծրագրի մշակում և համաձայնեցում</w:t>
            </w:r>
          </w:p>
        </w:tc>
        <w:tc>
          <w:tcPr>
            <w:tcW w:w="1297" w:type="pct"/>
          </w:tcPr>
          <w:p w14:paraId="5C877392" w14:textId="3A3EB13A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ՖՆ/ՊԳԿԿ</w:t>
            </w:r>
          </w:p>
        </w:tc>
        <w:tc>
          <w:tcPr>
            <w:tcW w:w="329" w:type="pct"/>
            <w:shd w:val="clear" w:color="auto" w:fill="ADADAD" w:themeFill="background2" w:themeFillShade="BF"/>
          </w:tcPr>
          <w:p w14:paraId="18C74F77" w14:textId="47B742B8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DADAD" w:themeFill="background2" w:themeFillShade="BF"/>
          </w:tcPr>
          <w:p w14:paraId="3140454C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DADAD" w:themeFill="background2" w:themeFillShade="BF"/>
          </w:tcPr>
          <w:p w14:paraId="09AF4FE0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uto"/>
          </w:tcPr>
          <w:p w14:paraId="259800FE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</w:tcPr>
          <w:p w14:paraId="5D9D77A8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</w:tcPr>
          <w:p w14:paraId="5439B713" w14:textId="77777777" w:rsidR="001A3C48" w:rsidRPr="00E62261" w:rsidRDefault="001A3C48" w:rsidP="008E09C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E62261" w14:paraId="715C30E8" w14:textId="45312D5E" w:rsidTr="001A3C48">
        <w:tc>
          <w:tcPr>
            <w:tcW w:w="1719" w:type="pct"/>
            <w:shd w:val="clear" w:color="auto" w:fill="auto"/>
          </w:tcPr>
          <w:p w14:paraId="47568FB3" w14:textId="043284A9" w:rsidR="001A3C48" w:rsidRPr="00D96D9D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ՊՄԸ սեփականության քաղաքականության ընդունում</w:t>
            </w:r>
          </w:p>
        </w:tc>
        <w:tc>
          <w:tcPr>
            <w:tcW w:w="1297" w:type="pct"/>
          </w:tcPr>
          <w:p w14:paraId="11D38479" w14:textId="6E32EA23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ՖՆ/ՊԳԿԿ</w:t>
            </w:r>
          </w:p>
        </w:tc>
        <w:tc>
          <w:tcPr>
            <w:tcW w:w="329" w:type="pct"/>
            <w:shd w:val="clear" w:color="auto" w:fill="auto"/>
          </w:tcPr>
          <w:p w14:paraId="5ED39B98" w14:textId="53698300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770500B0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15F8646A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DADAD" w:themeFill="background2" w:themeFillShade="BF"/>
          </w:tcPr>
          <w:p w14:paraId="7530EF60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</w:tcPr>
          <w:p w14:paraId="2A3FB894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</w:tcPr>
          <w:p w14:paraId="0AA64458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E62261" w14:paraId="0E90DCD2" w14:textId="2798AB9A" w:rsidTr="001A3C48">
        <w:tc>
          <w:tcPr>
            <w:tcW w:w="1719" w:type="pct"/>
            <w:shd w:val="clear" w:color="auto" w:fill="auto"/>
          </w:tcPr>
          <w:p w14:paraId="78CD1802" w14:textId="652780A5" w:rsidR="001A3C48" w:rsidRPr="00D96D9D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ՊՄԸ-ների դասակարգում</w:t>
            </w:r>
          </w:p>
        </w:tc>
        <w:tc>
          <w:tcPr>
            <w:tcW w:w="1297" w:type="pct"/>
          </w:tcPr>
          <w:p w14:paraId="2EA0400A" w14:textId="0C3D0CBA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ՊԳԿԿ/ՖՆ</w:t>
            </w:r>
          </w:p>
        </w:tc>
        <w:tc>
          <w:tcPr>
            <w:tcW w:w="329" w:type="pct"/>
            <w:shd w:val="clear" w:color="auto" w:fill="auto"/>
          </w:tcPr>
          <w:p w14:paraId="6F1EFBEF" w14:textId="7A8DD7E4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12B3FFBB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1E665ECF" w14:textId="77777777" w:rsidR="001A3C48" w:rsidRPr="001A3C48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584FF5AD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DADAD" w:themeFill="background2" w:themeFillShade="BF"/>
          </w:tcPr>
          <w:p w14:paraId="25DBB09B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</w:tcPr>
          <w:p w14:paraId="26FBFF4D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1703E3" w14:paraId="4D8133FD" w14:textId="2C7DE3F9" w:rsidTr="001A3C48">
        <w:tc>
          <w:tcPr>
            <w:tcW w:w="1719" w:type="pct"/>
            <w:shd w:val="clear" w:color="auto" w:fill="auto"/>
          </w:tcPr>
          <w:p w14:paraId="66741823" w14:textId="3D032598" w:rsidR="001A3C48" w:rsidRPr="00E62261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Ըստ առաջնահերթությունների ՊՄԸ-ների սեփականության հիմնավորումների մշակում, նպատակա</w:t>
            </w:r>
            <w:r w:rsidRPr="00E62261">
              <w:rPr>
                <w:rFonts w:ascii="GHEA Grapalat" w:hAnsi="GHEA Grapalat" w:cs="Arial"/>
                <w:lang w:val="hy-AM"/>
              </w:rPr>
              <w:t>դրում և կատարողականի ցուցանիշների սահմանում</w:t>
            </w:r>
          </w:p>
        </w:tc>
        <w:tc>
          <w:tcPr>
            <w:tcW w:w="1297" w:type="pct"/>
          </w:tcPr>
          <w:p w14:paraId="375939C6" w14:textId="4D4051B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ՊԳԿԿ/ՖՆ/Ոլորտային պատասխանատու մարմին</w:t>
            </w:r>
          </w:p>
        </w:tc>
        <w:tc>
          <w:tcPr>
            <w:tcW w:w="329" w:type="pct"/>
            <w:shd w:val="clear" w:color="auto" w:fill="auto"/>
          </w:tcPr>
          <w:p w14:paraId="0ECEEB3B" w14:textId="54C57D00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3322FB38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600C6371" w14:textId="77777777" w:rsidR="001A3C48" w:rsidRPr="001A3C48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564FC68F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DADAD" w:themeFill="background2" w:themeFillShade="BF"/>
          </w:tcPr>
          <w:p w14:paraId="0C1A3CE9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</w:tcPr>
          <w:p w14:paraId="749F875E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E62261" w14:paraId="1C71B578" w14:textId="27191F08" w:rsidTr="001A3C48">
        <w:tc>
          <w:tcPr>
            <w:tcW w:w="1719" w:type="pct"/>
            <w:shd w:val="clear" w:color="auto" w:fill="auto"/>
          </w:tcPr>
          <w:p w14:paraId="70B45B28" w14:textId="77777777" w:rsidR="001A3C48" w:rsidRPr="00D96D9D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Մասնավորեցման մասին օրենսդրության փոփոխություն</w:t>
            </w:r>
          </w:p>
        </w:tc>
        <w:tc>
          <w:tcPr>
            <w:tcW w:w="1297" w:type="pct"/>
          </w:tcPr>
          <w:p w14:paraId="2363B5EA" w14:textId="66CDAF01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ՊԳԿԿ</w:t>
            </w:r>
          </w:p>
        </w:tc>
        <w:tc>
          <w:tcPr>
            <w:tcW w:w="329" w:type="pct"/>
            <w:shd w:val="clear" w:color="auto" w:fill="auto"/>
          </w:tcPr>
          <w:p w14:paraId="5219FD19" w14:textId="750A336C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4A0F93C1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52A42DA0" w14:textId="77777777" w:rsidR="001A3C48" w:rsidRPr="001A3C48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7F773D25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DADAD" w:themeFill="background2" w:themeFillShade="BF"/>
          </w:tcPr>
          <w:p w14:paraId="3296D7D4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DADAD" w:themeFill="background2" w:themeFillShade="BF"/>
          </w:tcPr>
          <w:p w14:paraId="09C82F61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E62261" w14:paraId="061D83E0" w14:textId="5FCE5BED" w:rsidTr="001A3C48">
        <w:tc>
          <w:tcPr>
            <w:tcW w:w="1719" w:type="pct"/>
            <w:shd w:val="clear" w:color="auto" w:fill="auto"/>
          </w:tcPr>
          <w:p w14:paraId="514B8E57" w14:textId="1CEF20BF" w:rsidR="001A3C48" w:rsidRPr="00D96D9D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ՊՄԸ-ների համար Կորպորատիվ կառավարման կանոնագրքի կիրառության պահանջի սահմանում</w:t>
            </w:r>
          </w:p>
        </w:tc>
        <w:tc>
          <w:tcPr>
            <w:tcW w:w="1297" w:type="pct"/>
          </w:tcPr>
          <w:p w14:paraId="06729595" w14:textId="4FF39D36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ԷՆ/ՊԳԿԿ/ՖՆ</w:t>
            </w:r>
          </w:p>
        </w:tc>
        <w:tc>
          <w:tcPr>
            <w:tcW w:w="329" w:type="pct"/>
            <w:shd w:val="clear" w:color="auto" w:fill="auto"/>
          </w:tcPr>
          <w:p w14:paraId="5AA07FF6" w14:textId="43469944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5A59F0D5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47790DDF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0A15EC79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6A6A6" w:themeFill="background1" w:themeFillShade="A6"/>
          </w:tcPr>
          <w:p w14:paraId="150FBA1E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</w:tcPr>
          <w:p w14:paraId="0AA97C13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E62261" w14:paraId="47DF9021" w14:textId="2309AABD" w:rsidTr="001A3C48">
        <w:tc>
          <w:tcPr>
            <w:tcW w:w="1719" w:type="pct"/>
            <w:shd w:val="clear" w:color="auto" w:fill="auto"/>
          </w:tcPr>
          <w:p w14:paraId="3558D868" w14:textId="77777777" w:rsidR="001A3C48" w:rsidRPr="00D96D9D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ՊՄԸ կարգավորող իրավական ակտերի մշակում</w:t>
            </w:r>
          </w:p>
        </w:tc>
        <w:tc>
          <w:tcPr>
            <w:tcW w:w="1297" w:type="pct"/>
          </w:tcPr>
          <w:p w14:paraId="7ABD6C8D" w14:textId="13434FFA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ՊԳԿԿ</w:t>
            </w:r>
          </w:p>
        </w:tc>
        <w:tc>
          <w:tcPr>
            <w:tcW w:w="329" w:type="pct"/>
            <w:shd w:val="clear" w:color="auto" w:fill="auto"/>
          </w:tcPr>
          <w:p w14:paraId="2C72D1D1" w14:textId="74E11A5E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4BE81611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21A36D88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15ADCEB4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6A6A6" w:themeFill="background1" w:themeFillShade="A6"/>
          </w:tcPr>
          <w:p w14:paraId="6A34DFC0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6A6A6" w:themeFill="background1" w:themeFillShade="A6"/>
          </w:tcPr>
          <w:p w14:paraId="44E7D33A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E62261" w14:paraId="4BD1F282" w14:textId="0C9F2540" w:rsidTr="001A3C48">
        <w:tc>
          <w:tcPr>
            <w:tcW w:w="1719" w:type="pct"/>
            <w:shd w:val="clear" w:color="auto" w:fill="auto"/>
          </w:tcPr>
          <w:p w14:paraId="66A9196D" w14:textId="6A3BCF5B" w:rsidR="001A3C48" w:rsidRPr="00D96D9D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Առանցքային ՊՄԸ-ների խորհուրդների արդյունավետության գնահատում և ամրացում</w:t>
            </w:r>
          </w:p>
        </w:tc>
        <w:tc>
          <w:tcPr>
            <w:tcW w:w="1297" w:type="pct"/>
          </w:tcPr>
          <w:p w14:paraId="4F69982D" w14:textId="613AA1C6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ՊԳԿԿ/Ոլորտային պատասխանատու մարմին</w:t>
            </w:r>
          </w:p>
        </w:tc>
        <w:tc>
          <w:tcPr>
            <w:tcW w:w="329" w:type="pct"/>
            <w:shd w:val="clear" w:color="auto" w:fill="auto"/>
          </w:tcPr>
          <w:p w14:paraId="004169D5" w14:textId="4FFA4659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6885ADD3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6B6A6040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6AFB755A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uto"/>
          </w:tcPr>
          <w:p w14:paraId="77F05F43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6A6A6" w:themeFill="background1" w:themeFillShade="A6"/>
          </w:tcPr>
          <w:p w14:paraId="5064BF2C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1703E3" w14:paraId="1631DF23" w14:textId="4406DA4B" w:rsidTr="001A3C48">
        <w:tc>
          <w:tcPr>
            <w:tcW w:w="1719" w:type="pct"/>
            <w:shd w:val="clear" w:color="auto" w:fill="auto"/>
          </w:tcPr>
          <w:p w14:paraId="505145F5" w14:textId="77777777" w:rsidR="001A3C48" w:rsidRPr="00D96D9D" w:rsidRDefault="001A3C48" w:rsidP="0010740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D96D9D">
              <w:rPr>
                <w:rFonts w:ascii="GHEA Grapalat" w:hAnsi="GHEA Grapalat" w:cs="Arial"/>
                <w:lang w:val="hy-AM"/>
              </w:rPr>
              <w:t>Կառավարության կարողությունների զարգացում՝ վերահսկողության, կորպորատիվ կառավարման պահանջների մշտադիտարկման համար</w:t>
            </w:r>
          </w:p>
        </w:tc>
        <w:tc>
          <w:tcPr>
            <w:tcW w:w="1297" w:type="pct"/>
          </w:tcPr>
          <w:p w14:paraId="125B222C" w14:textId="5F93A6A6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ՊԳԿԿ/ՖՆ/ԷՆ/Ոլորտային պատասխանատու մարմին</w:t>
            </w:r>
          </w:p>
        </w:tc>
        <w:tc>
          <w:tcPr>
            <w:tcW w:w="329" w:type="pct"/>
            <w:shd w:val="clear" w:color="auto" w:fill="auto"/>
          </w:tcPr>
          <w:p w14:paraId="58F5B4F3" w14:textId="20FFDA01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652BAC29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57789196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47760886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DADAD" w:themeFill="background2" w:themeFillShade="BF"/>
          </w:tcPr>
          <w:p w14:paraId="5D590797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32" w:type="pct"/>
            <w:shd w:val="clear" w:color="auto" w:fill="ADADAD" w:themeFill="background2" w:themeFillShade="BF"/>
          </w:tcPr>
          <w:p w14:paraId="55F14AE2" w14:textId="77777777" w:rsidR="001A3C48" w:rsidRPr="00E62261" w:rsidRDefault="001A3C48" w:rsidP="0010740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A3C48" w:rsidRPr="008E09C8" w14:paraId="21B2DC07" w14:textId="24D29F90" w:rsidTr="001A3C48">
        <w:tc>
          <w:tcPr>
            <w:tcW w:w="1719" w:type="pct"/>
            <w:shd w:val="clear" w:color="auto" w:fill="auto"/>
          </w:tcPr>
          <w:p w14:paraId="71562A70" w14:textId="572F200D" w:rsidR="001A3C48" w:rsidRPr="00813AEB" w:rsidRDefault="001A3C48" w:rsidP="00107409">
            <w:pPr>
              <w:spacing w:line="276" w:lineRule="auto"/>
              <w:rPr>
                <w:rFonts w:ascii="GHEA Grapalat" w:hAnsi="GHEA Grapalat" w:cs="Arial"/>
                <w:highlight w:val="yellow"/>
                <w:lang w:val="hy-AM"/>
              </w:rPr>
            </w:pPr>
            <w:r w:rsidRPr="002D0DD9">
              <w:rPr>
                <w:rFonts w:ascii="GHEA Grapalat" w:hAnsi="GHEA Grapalat" w:cs="Arial"/>
                <w:lang w:val="hy-AM"/>
              </w:rPr>
              <w:t>Խոշոր ՊՄԸ-ներում անկախ խորհուրդների ձևավորման աշխատանքներ</w:t>
            </w:r>
          </w:p>
        </w:tc>
        <w:tc>
          <w:tcPr>
            <w:tcW w:w="1297" w:type="pct"/>
          </w:tcPr>
          <w:p w14:paraId="5D6ED719" w14:textId="79A23DC2" w:rsidR="001A3C48" w:rsidRPr="00813AEB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ՊԳԿԿ/Ոլորտային պատասխանատու մարմին</w:t>
            </w:r>
          </w:p>
        </w:tc>
        <w:tc>
          <w:tcPr>
            <w:tcW w:w="329" w:type="pct"/>
            <w:shd w:val="clear" w:color="auto" w:fill="auto"/>
          </w:tcPr>
          <w:p w14:paraId="11A702BA" w14:textId="4D3AA23D" w:rsidR="001A3C48" w:rsidRPr="00813AEB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29" w:type="pct"/>
            <w:shd w:val="clear" w:color="auto" w:fill="auto"/>
          </w:tcPr>
          <w:p w14:paraId="4F204CBF" w14:textId="77777777" w:rsidR="001A3C48" w:rsidRPr="00813AEB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252D178D" w14:textId="77777777" w:rsidR="001A3C48" w:rsidRPr="00813AEB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4DED3FBC" w14:textId="77777777" w:rsidR="001A3C48" w:rsidRPr="00813AEB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7D2941F0" w14:textId="77777777" w:rsidR="001A3C48" w:rsidRPr="00813AEB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32" w:type="pct"/>
            <w:shd w:val="clear" w:color="auto" w:fill="A6A6A6"/>
          </w:tcPr>
          <w:p w14:paraId="3F401A86" w14:textId="77777777" w:rsidR="001A3C48" w:rsidRPr="00813AEB" w:rsidRDefault="001A3C48" w:rsidP="00107409">
            <w:pPr>
              <w:spacing w:line="276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</w:tbl>
    <w:p w14:paraId="124A0F1E" w14:textId="77777777" w:rsidR="00097355" w:rsidRPr="00D96D9D" w:rsidRDefault="00097355" w:rsidP="008E09C8">
      <w:pPr>
        <w:spacing w:line="276" w:lineRule="auto"/>
        <w:rPr>
          <w:rFonts w:ascii="GHEA Grapalat" w:hAnsi="GHEA Grapalat"/>
          <w:lang w:val="hy-AM"/>
        </w:rPr>
      </w:pPr>
    </w:p>
    <w:p w14:paraId="470D2B4E" w14:textId="40F1A5EB" w:rsidR="004C1A83" w:rsidRPr="008D0885" w:rsidRDefault="00744A45" w:rsidP="00107409">
      <w:pPr>
        <w:spacing w:after="160" w:line="259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96D9D">
        <w:rPr>
          <w:rFonts w:ascii="GHEA Grapalat" w:hAnsi="GHEA Grapalat"/>
          <w:b/>
          <w:sz w:val="24"/>
          <w:szCs w:val="24"/>
          <w:lang w:val="hy-AM"/>
        </w:rPr>
        <w:br w:type="page"/>
      </w:r>
      <w:r w:rsidR="004C1A83" w:rsidRPr="008D0885">
        <w:rPr>
          <w:rFonts w:ascii="GHEA Grapalat" w:hAnsi="GHEA Grapalat"/>
          <w:b/>
          <w:sz w:val="24"/>
          <w:szCs w:val="24"/>
          <w:lang w:val="hy-AM"/>
        </w:rPr>
        <w:lastRenderedPageBreak/>
        <w:t>ՀԱՎԵԼՎԱԾ 1</w:t>
      </w:r>
    </w:p>
    <w:p w14:paraId="5F431B50" w14:textId="77777777" w:rsidR="004C1A83" w:rsidRPr="00EB6075" w:rsidRDefault="004C1A83" w:rsidP="004C1A83">
      <w:pPr>
        <w:jc w:val="center"/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</w:pPr>
      <w:r w:rsidRPr="00EB6075">
        <w:rPr>
          <w:rFonts w:ascii="GHEA Grapalat" w:hAnsi="GHEA Grapalat"/>
          <w:b/>
          <w:color w:val="215E99" w:themeColor="text2" w:themeTint="BF"/>
          <w:sz w:val="24"/>
          <w:szCs w:val="24"/>
          <w:lang w:val="hy-AM"/>
        </w:rPr>
        <w:t>ՀՀ ՊԵՏԱԿԱՆ ՄԱՍՆԱԿՑՈՒԹՅԱՄԸ ԸՆԿԵՐՈՒԹՅՈՒՆՆԵՐԻ ՊՈՐՏՖԵԼԻ ՆԿԱՐԱԳՐՈՒԹՅՈՒՆ</w:t>
      </w:r>
    </w:p>
    <w:p w14:paraId="2C7BACF2" w14:textId="5FD786CD" w:rsidR="004C1A83" w:rsidRPr="008D0885" w:rsidRDefault="004C1A83" w:rsidP="004C1A83">
      <w:pPr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sz w:val="24"/>
          <w:szCs w:val="24"/>
          <w:lang w:val="hy-AM"/>
        </w:rPr>
        <w:t>2022 թվականի տվյալներով</w:t>
      </w:r>
      <w:r w:rsidR="00EB6075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Pr="008D0885">
        <w:rPr>
          <w:rFonts w:ascii="GHEA Grapalat" w:eastAsia="Tahoma" w:hAnsi="GHEA Grapalat" w:cs="Tahoma"/>
          <w:sz w:val="24"/>
          <w:szCs w:val="24"/>
          <w:lang w:val="hy-AM"/>
        </w:rPr>
        <w:t xml:space="preserve"> ՀՀ-ում գործում են 188 շահույթ </w:t>
      </w:r>
      <w:r w:rsidR="005C0055">
        <w:rPr>
          <w:rFonts w:ascii="GHEA Grapalat" w:eastAsia="Tahoma" w:hAnsi="GHEA Grapalat" w:cs="Tahoma"/>
          <w:sz w:val="24"/>
          <w:szCs w:val="24"/>
          <w:lang w:val="hy-AM"/>
        </w:rPr>
        <w:t xml:space="preserve">ստանալու նպատակ </w:t>
      </w:r>
      <w:r w:rsidRPr="008D0885">
        <w:rPr>
          <w:rFonts w:ascii="GHEA Grapalat" w:eastAsia="Tahoma" w:hAnsi="GHEA Grapalat" w:cs="Tahoma"/>
          <w:sz w:val="24"/>
          <w:szCs w:val="24"/>
          <w:lang w:val="hy-AM"/>
        </w:rPr>
        <w:t>հետապնդող պետական և համայնքային մասնակցությամբ ընկերություն, որոնցից 36-ը գտնվում է Երևանի քաղաքապետարանի կառավարման ներքո: Առկա են նաև 15 ընկերություն, որտեղ Պետությունը ունի մինչև 50 տոկոս բաժնեմաս:</w:t>
      </w:r>
    </w:p>
    <w:tbl>
      <w:tblPr>
        <w:tblW w:w="93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4C1A83" w:rsidRPr="008D0885" w14:paraId="5938C110" w14:textId="77777777" w:rsidTr="007F1E86">
        <w:tc>
          <w:tcPr>
            <w:tcW w:w="2337" w:type="dxa"/>
          </w:tcPr>
          <w:p w14:paraId="1FA6946F" w14:textId="77777777" w:rsidR="004C1A83" w:rsidRPr="008D0885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8D0885">
              <w:rPr>
                <w:rFonts w:ascii="GHEA Grapalat" w:eastAsia="Tahoma" w:hAnsi="GHEA Grapalat" w:cs="Tahoma"/>
                <w:lang w:val="hy-AM"/>
              </w:rPr>
              <w:t>50 տոկոս և ավել</w:t>
            </w:r>
          </w:p>
        </w:tc>
        <w:tc>
          <w:tcPr>
            <w:tcW w:w="2337" w:type="dxa"/>
          </w:tcPr>
          <w:p w14:paraId="54993BF7" w14:textId="77777777" w:rsidR="004C1A83" w:rsidRPr="008D0885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8D0885">
              <w:rPr>
                <w:rFonts w:ascii="GHEA Grapalat" w:eastAsia="Tahoma" w:hAnsi="GHEA Grapalat" w:cs="Tahoma"/>
                <w:lang w:val="hy-AM"/>
              </w:rPr>
              <w:t>Երևանի Քաղաքապետարան</w:t>
            </w:r>
          </w:p>
        </w:tc>
        <w:tc>
          <w:tcPr>
            <w:tcW w:w="2338" w:type="dxa"/>
          </w:tcPr>
          <w:p w14:paraId="159E642D" w14:textId="77777777" w:rsidR="004C1A83" w:rsidRPr="008D0885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8D0885">
              <w:rPr>
                <w:rFonts w:ascii="GHEA Grapalat" w:eastAsia="Tahoma" w:hAnsi="GHEA Grapalat" w:cs="Tahoma"/>
                <w:lang w:val="hy-AM"/>
              </w:rPr>
              <w:t>Մինչև 50 տոկոս</w:t>
            </w:r>
          </w:p>
        </w:tc>
        <w:tc>
          <w:tcPr>
            <w:tcW w:w="2338" w:type="dxa"/>
          </w:tcPr>
          <w:p w14:paraId="7875C5F8" w14:textId="77777777" w:rsidR="004C1A83" w:rsidRPr="008D0885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8D0885">
              <w:rPr>
                <w:rFonts w:ascii="GHEA Grapalat" w:eastAsia="Tahoma" w:hAnsi="GHEA Grapalat" w:cs="Tahoma"/>
                <w:lang w:val="hy-AM"/>
              </w:rPr>
              <w:t>Ընդհանուր</w:t>
            </w:r>
          </w:p>
        </w:tc>
      </w:tr>
      <w:tr w:rsidR="004C1A83" w:rsidRPr="008D0885" w14:paraId="5D641DF1" w14:textId="77777777" w:rsidTr="007F1E86">
        <w:tc>
          <w:tcPr>
            <w:tcW w:w="2337" w:type="dxa"/>
          </w:tcPr>
          <w:p w14:paraId="71537A52" w14:textId="77777777" w:rsidR="004C1A83" w:rsidRPr="001A3C48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1A3C48">
              <w:rPr>
                <w:rFonts w:ascii="GHEA Grapalat" w:eastAsia="Arial" w:hAnsi="GHEA Grapalat" w:cs="Arial"/>
                <w:lang w:val="hy-AM"/>
              </w:rPr>
              <w:t>152</w:t>
            </w:r>
          </w:p>
        </w:tc>
        <w:tc>
          <w:tcPr>
            <w:tcW w:w="2337" w:type="dxa"/>
          </w:tcPr>
          <w:p w14:paraId="2A889121" w14:textId="77777777" w:rsidR="004C1A83" w:rsidRPr="001A3C48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1A3C48">
              <w:rPr>
                <w:rFonts w:ascii="GHEA Grapalat" w:eastAsia="Arial" w:hAnsi="GHEA Grapalat" w:cs="Arial"/>
                <w:lang w:val="hy-AM"/>
              </w:rPr>
              <w:t>36</w:t>
            </w:r>
          </w:p>
        </w:tc>
        <w:tc>
          <w:tcPr>
            <w:tcW w:w="2338" w:type="dxa"/>
          </w:tcPr>
          <w:p w14:paraId="543463D9" w14:textId="77777777" w:rsidR="004C1A83" w:rsidRPr="001A3C48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1A3C48">
              <w:rPr>
                <w:rFonts w:ascii="GHEA Grapalat" w:eastAsia="Arial" w:hAnsi="GHEA Grapalat" w:cs="Arial"/>
                <w:lang w:val="hy-AM"/>
              </w:rPr>
              <w:t>15</w:t>
            </w:r>
          </w:p>
        </w:tc>
        <w:tc>
          <w:tcPr>
            <w:tcW w:w="2338" w:type="dxa"/>
          </w:tcPr>
          <w:p w14:paraId="78E752E5" w14:textId="77777777" w:rsidR="004C1A83" w:rsidRPr="001A3C48" w:rsidRDefault="004C1A83" w:rsidP="007F1E86">
            <w:pPr>
              <w:spacing w:after="0" w:line="276" w:lineRule="auto"/>
              <w:jc w:val="center"/>
              <w:rPr>
                <w:rFonts w:ascii="GHEA Grapalat" w:eastAsia="Arial" w:hAnsi="GHEA Grapalat" w:cs="Arial"/>
                <w:lang w:val="hy-AM"/>
              </w:rPr>
            </w:pPr>
            <w:r w:rsidRPr="001A3C48">
              <w:rPr>
                <w:rFonts w:ascii="GHEA Grapalat" w:eastAsia="Arial" w:hAnsi="GHEA Grapalat" w:cs="Arial"/>
                <w:lang w:val="hy-AM"/>
              </w:rPr>
              <w:t>203</w:t>
            </w:r>
          </w:p>
        </w:tc>
      </w:tr>
    </w:tbl>
    <w:p w14:paraId="7C731D62" w14:textId="77777777" w:rsidR="00EB6075" w:rsidRDefault="00EB6075" w:rsidP="004C1A83">
      <w:pPr>
        <w:spacing w:before="60" w:after="40" w:line="240" w:lineRule="auto"/>
        <w:jc w:val="center"/>
        <w:rPr>
          <w:rFonts w:ascii="GHEA Grapalat" w:eastAsia="Tahoma" w:hAnsi="GHEA Grapalat" w:cs="Tahoma"/>
          <w:b/>
          <w:sz w:val="24"/>
          <w:lang w:val="hy-AM"/>
        </w:rPr>
      </w:pPr>
    </w:p>
    <w:p w14:paraId="64DD7F0A" w14:textId="6E6D917B" w:rsidR="004C1A83" w:rsidRPr="00EB6075" w:rsidRDefault="004C1A83" w:rsidP="004C1A83">
      <w:pPr>
        <w:spacing w:before="60" w:after="40" w:line="240" w:lineRule="auto"/>
        <w:jc w:val="center"/>
        <w:rPr>
          <w:rFonts w:ascii="GHEA Grapalat" w:eastAsia="Tahoma" w:hAnsi="GHEA Grapalat" w:cs="Tahoma"/>
          <w:b/>
          <w:sz w:val="24"/>
          <w:lang w:val="hy-AM"/>
        </w:rPr>
      </w:pPr>
      <w:r w:rsidRPr="00EB6075">
        <w:rPr>
          <w:rFonts w:ascii="GHEA Grapalat" w:eastAsia="Tahoma" w:hAnsi="GHEA Grapalat" w:cs="Tahoma"/>
          <w:b/>
          <w:sz w:val="24"/>
          <w:lang w:val="hy-AM"/>
        </w:rPr>
        <w:t>Աղյուսակ 1. Պետական և համայնքային մասնակցությամբ ընկերությունները՝ ըստ կառավարող մարմինների, որտեղ պետությունը ունի 50 և ավել մասնաբաժին</w:t>
      </w:r>
    </w:p>
    <w:p w14:paraId="6138932A" w14:textId="77777777" w:rsidR="00EB6075" w:rsidRDefault="00EB6075" w:rsidP="004C1A83">
      <w:pPr>
        <w:spacing w:before="60" w:after="40" w:line="240" w:lineRule="auto"/>
        <w:jc w:val="center"/>
        <w:rPr>
          <w:rFonts w:ascii="GHEA Grapalat" w:eastAsia="Tahoma" w:hAnsi="GHEA Grapalat" w:cs="Tahoma"/>
          <w:b/>
          <w:lang w:val="hy-AM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796"/>
        <w:gridCol w:w="2980"/>
      </w:tblGrid>
      <w:tr w:rsidR="004C1A83" w:rsidRPr="00EB6075" w14:paraId="21DD39E8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5F9055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FFFFFF"/>
                <w:sz w:val="18"/>
                <w:lang w:val="hy-AM"/>
              </w:rPr>
            </w:pPr>
            <w:r w:rsidRPr="00EB6075">
              <w:rPr>
                <w:rFonts w:ascii="GHEA Grapalat" w:hAnsi="GHEA Grapalat"/>
                <w:b/>
                <w:bCs/>
                <w:color w:val="FFFFFF"/>
                <w:sz w:val="18"/>
                <w:lang w:val="hy-AM"/>
              </w:rPr>
              <w:t>Բաժնետոմսերի կառավարումը իրականացնող մարմին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0D30BD5C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FFFFFF"/>
                <w:sz w:val="18"/>
                <w:lang w:val="hy-AM"/>
              </w:rPr>
            </w:pPr>
            <w:r w:rsidRPr="00EB6075">
              <w:rPr>
                <w:rFonts w:ascii="GHEA Grapalat" w:hAnsi="GHEA Grapalat"/>
                <w:b/>
                <w:bCs/>
                <w:color w:val="FFFFFF"/>
                <w:sz w:val="18"/>
                <w:lang w:val="hy-AM"/>
              </w:rPr>
              <w:t>Ընկերությունների թիվ</w:t>
            </w:r>
          </w:p>
        </w:tc>
      </w:tr>
      <w:tr w:rsidR="004C1A83" w:rsidRPr="00EB6075" w14:paraId="3A444F3B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0337B2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7C8D43" w14:textId="28D72046" w:rsidR="004C1A83" w:rsidRPr="005C0055" w:rsidRDefault="007E5BCF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</w:rPr>
            </w:pPr>
            <w:r>
              <w:rPr>
                <w:rFonts w:ascii="GHEA Grapalat" w:hAnsi="GHEA Grapalat"/>
                <w:color w:val="000000"/>
                <w:sz w:val="18"/>
              </w:rPr>
              <w:t xml:space="preserve"> 34</w:t>
            </w:r>
          </w:p>
        </w:tc>
      </w:tr>
      <w:tr w:rsidR="004C1A83" w:rsidRPr="00EB6075" w14:paraId="6E9F6ED6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A06911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առողջապահության նախարարություն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AD3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14</w:t>
            </w:r>
          </w:p>
        </w:tc>
      </w:tr>
      <w:tr w:rsidR="004C1A83" w:rsidRPr="00EB6075" w14:paraId="77A0EBE5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6BEDF1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վարչապետի աշխատակազմ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942D76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2</w:t>
            </w:r>
          </w:p>
        </w:tc>
      </w:tr>
      <w:tr w:rsidR="004C1A83" w:rsidRPr="00EB6075" w14:paraId="21666788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869CD6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էկոնոմիկայի նախարարություն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645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8</w:t>
            </w:r>
          </w:p>
        </w:tc>
      </w:tr>
      <w:tr w:rsidR="004C1A83" w:rsidRPr="00EB6075" w14:paraId="048936F2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9E844D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ՀՀ պաշտպանության նախարարություն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466B26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2</w:t>
            </w:r>
          </w:p>
        </w:tc>
      </w:tr>
      <w:tr w:rsidR="004C1A83" w:rsidRPr="00EB6075" w14:paraId="067C0CEB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0DA6DA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B0DD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4</w:t>
            </w:r>
          </w:p>
        </w:tc>
      </w:tr>
      <w:tr w:rsidR="004C1A83" w:rsidRPr="00EB6075" w14:paraId="69AF97C8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0845CC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բարձր տեխնոլոգիական արդյունաբերության նախարարություն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6A8651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12</w:t>
            </w:r>
          </w:p>
        </w:tc>
      </w:tr>
      <w:tr w:rsidR="004C1A83" w:rsidRPr="00EB6075" w14:paraId="23F33F36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5EC301" w14:textId="75EB9BC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ՀՀ </w:t>
            </w:r>
            <w:r w:rsidR="00D13500">
              <w:rPr>
                <w:rFonts w:ascii="GHEA Grapalat" w:hAnsi="GHEA Grapalat"/>
                <w:color w:val="000000"/>
                <w:sz w:val="18"/>
                <w:lang w:val="hy-AM"/>
              </w:rPr>
              <w:t>քաղաքաշինության կոմիտե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DB2" w14:textId="2FE31AF3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3</w:t>
            </w:r>
          </w:p>
        </w:tc>
      </w:tr>
      <w:tr w:rsidR="004C1A83" w:rsidRPr="00EB6075" w14:paraId="6262D9BA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CCC146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արդարադատության նախարարություն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1F7F48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1</w:t>
            </w:r>
          </w:p>
        </w:tc>
      </w:tr>
      <w:tr w:rsidR="004C1A83" w:rsidRPr="00EB6075" w14:paraId="1E45A946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4795FB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շրջակա միջավայրի նախարարություն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6C2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1</w:t>
            </w:r>
          </w:p>
        </w:tc>
      </w:tr>
      <w:tr w:rsidR="004C1A83" w:rsidRPr="00EB6075" w14:paraId="51E64DC3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7BB021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հանրային հեռարձակողի խորհուրդ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20C9B1" w14:textId="1161C1DE" w:rsidR="004C1A83" w:rsidRPr="00D13500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3</w:t>
            </w:r>
          </w:p>
        </w:tc>
      </w:tr>
      <w:tr w:rsidR="004C1A83" w:rsidRPr="00EB6075" w14:paraId="765B960A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42101A" w14:textId="4BD6BA70" w:rsidR="004C1A83" w:rsidRPr="00EB6075" w:rsidRDefault="004C1A83" w:rsidP="00EB607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footnoteReference w:customMarkFollows="1" w:id="6"/>
              <w:t>Երևանի քաղաքապետարան</w:t>
            </w:r>
            <w:r w:rsidR="00EB6075">
              <w:rPr>
                <w:rStyle w:val="FootnoteReference"/>
                <w:rFonts w:ascii="GHEA Grapalat" w:hAnsi="GHEA Grapalat"/>
                <w:color w:val="000000"/>
                <w:sz w:val="18"/>
                <w:lang w:val="hy-AM"/>
              </w:rPr>
              <w:footnoteReference w:id="7"/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C42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36</w:t>
            </w:r>
          </w:p>
        </w:tc>
      </w:tr>
      <w:tr w:rsidR="004C1A83" w:rsidRPr="00EB6075" w14:paraId="19A78487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97E1F7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Արագածոտնի մարզպետարան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C48824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5</w:t>
            </w:r>
          </w:p>
        </w:tc>
      </w:tr>
      <w:tr w:rsidR="004C1A83" w:rsidRPr="00EB6075" w14:paraId="7EB8491E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93F267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Արարատի մարզպետարան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E93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6</w:t>
            </w:r>
          </w:p>
        </w:tc>
      </w:tr>
      <w:tr w:rsidR="004C1A83" w:rsidRPr="00EB6075" w14:paraId="32B3BE60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D9FB2E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Արմավիրի մարզպետարան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861A83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4</w:t>
            </w:r>
          </w:p>
        </w:tc>
      </w:tr>
      <w:tr w:rsidR="004C1A83" w:rsidRPr="00EB6075" w14:paraId="27A40F6A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9B37DA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Գեղարքունիքի մարզպետարան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AE8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6</w:t>
            </w:r>
          </w:p>
        </w:tc>
      </w:tr>
      <w:tr w:rsidR="004C1A83" w:rsidRPr="00EB6075" w14:paraId="638D36FD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F013C6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Լոռու մարզպետարան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336A99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12</w:t>
            </w:r>
          </w:p>
        </w:tc>
      </w:tr>
      <w:tr w:rsidR="004C1A83" w:rsidRPr="00EB6075" w14:paraId="11FAF8D5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8365B9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Կոտայքի մարզպետարան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D91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7</w:t>
            </w:r>
          </w:p>
        </w:tc>
      </w:tr>
      <w:tr w:rsidR="004C1A83" w:rsidRPr="00EB6075" w14:paraId="1F724DCC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28BF18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Շիրակի մարզպետարան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37F302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15</w:t>
            </w:r>
          </w:p>
        </w:tc>
      </w:tr>
      <w:tr w:rsidR="004C1A83" w:rsidRPr="00EB6075" w14:paraId="7D20D188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1F5C2E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Սյունիքի մարզպետարան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F14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6</w:t>
            </w:r>
          </w:p>
        </w:tc>
      </w:tr>
      <w:tr w:rsidR="004C1A83" w:rsidRPr="00EB6075" w14:paraId="4691E3F4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134491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Վայոց Ձորի մարզպետարան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3A59BF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4</w:t>
            </w:r>
          </w:p>
        </w:tc>
      </w:tr>
      <w:tr w:rsidR="004C1A83" w:rsidRPr="00EB6075" w14:paraId="0E646D8A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E2F33C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ՀՀ Տավուշի մարզպետարան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3EB4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3</w:t>
            </w:r>
          </w:p>
        </w:tc>
      </w:tr>
      <w:tr w:rsidR="004C1A83" w:rsidRPr="00EB6075" w14:paraId="5142F8B4" w14:textId="77777777" w:rsidTr="00EB6075">
        <w:trPr>
          <w:trHeight w:val="227"/>
        </w:trPr>
        <w:tc>
          <w:tcPr>
            <w:tcW w:w="6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CAFB0F" w14:textId="77777777" w:rsidR="004C1A83" w:rsidRPr="00EB6075" w:rsidRDefault="004C1A83" w:rsidP="007F1E8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Ընդամենը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0E4392" w14:textId="77777777" w:rsidR="004C1A83" w:rsidRPr="00EB6075" w:rsidRDefault="004C1A83" w:rsidP="007F1E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B6075">
              <w:rPr>
                <w:rFonts w:ascii="GHEA Grapalat" w:hAnsi="GHEA Grapalat"/>
                <w:color w:val="000000"/>
                <w:sz w:val="18"/>
                <w:lang w:val="hy-AM"/>
              </w:rPr>
              <w:t>188</w:t>
            </w:r>
          </w:p>
        </w:tc>
      </w:tr>
    </w:tbl>
    <w:p w14:paraId="2724B846" w14:textId="77777777" w:rsidR="004C1A83" w:rsidRPr="008D0885" w:rsidRDefault="004C1A83" w:rsidP="004C1A83">
      <w:pPr>
        <w:ind w:firstLine="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Կազմակերպությունները հիմնականում գործում են այնպիսի ռազմավարական ոլորտներում, ինչպիսիք են էներգետիկան, առողջապահությունը, ջրային տնտեսությունը և այլն:</w:t>
      </w:r>
    </w:p>
    <w:p w14:paraId="46BE18DD" w14:textId="77777777" w:rsidR="004C1A83" w:rsidRPr="008D0885" w:rsidRDefault="004C1A83" w:rsidP="004C1A83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sz w:val="24"/>
          <w:szCs w:val="24"/>
          <w:lang w:val="hy-AM"/>
        </w:rPr>
        <w:t xml:space="preserve">Աղյուսակ 2-ից երևում է ՊՄԸ-երի ոլորտային բաշխումը և այն, թե դիտարկված ընկերութունները որքան են շահութաբեր։ Աղյուսակ 2-ից կարելի է եզրակացնել, որ ընկերությունների հիմնական մասը կենտրոնացած է առողջապահության ոլորտում, </w:t>
      </w:r>
      <w:r w:rsidRPr="008D0885">
        <w:rPr>
          <w:rFonts w:ascii="GHEA Grapalat" w:hAnsi="GHEA Grapalat"/>
          <w:sz w:val="24"/>
          <w:szCs w:val="24"/>
          <w:lang w:val="hy-AM"/>
        </w:rPr>
        <w:t>սակայն ակտիվների և պարտավորությունների մեծ մասը գտնվում են էներգետիկ ոլորտում՝ կազմելով ընդհանուր ՊՄԸ-երի պորտֆելի համապատասխանաբար 55%-ը և 70%-ը:  188 ընկերություններից 118-ը շահութաբեր են՝ 2022թ-ի ավարտի դրությամբ։</w:t>
      </w:r>
    </w:p>
    <w:p w14:paraId="05CCC269" w14:textId="77777777" w:rsidR="004C1A83" w:rsidRPr="008D0885" w:rsidRDefault="004C1A83" w:rsidP="004C1A83">
      <w:pPr>
        <w:pStyle w:val="ListParagrap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1B4AEDBE" w14:textId="77777777" w:rsidR="004C1A83" w:rsidRPr="008D0885" w:rsidRDefault="004C1A83" w:rsidP="004C1A83">
      <w:pPr>
        <w:pStyle w:val="ListParagraph"/>
        <w:jc w:val="center"/>
        <w:rPr>
          <w:rFonts w:ascii="GHEA Grapalat" w:eastAsia="Tahoma" w:hAnsi="GHEA Grapalat" w:cs="Tahoma"/>
          <w:lang w:val="hy-AM"/>
        </w:rPr>
      </w:pPr>
      <w:r w:rsidRPr="008D0885">
        <w:rPr>
          <w:rFonts w:ascii="GHEA Grapalat" w:eastAsia="Tahoma" w:hAnsi="GHEA Grapalat" w:cs="Tahoma"/>
          <w:b/>
          <w:lang w:val="hy-AM"/>
        </w:rPr>
        <w:t xml:space="preserve">Աղյուսակ 2. </w:t>
      </w:r>
      <w:r w:rsidRPr="008D0885">
        <w:rPr>
          <w:rFonts w:ascii="GHEA Grapalat" w:hAnsi="GHEA Grapalat"/>
          <w:b/>
          <w:lang w:val="hy-AM"/>
        </w:rPr>
        <w:t>ՀՀ-ում գործող ՊՄԸ-երի բաշխումը՝ ըստ ոլորտների</w:t>
      </w:r>
      <w:r w:rsidRPr="008D0885">
        <w:rPr>
          <w:rFonts w:ascii="GHEA Grapalat" w:eastAsia="Tahoma" w:hAnsi="GHEA Grapalat" w:cs="Tahoma"/>
          <w:b/>
          <w:lang w:val="hy-AM"/>
        </w:rPr>
        <w:t xml:space="preserve"> և շահույթի՝ 2022թ. դրությամբ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106"/>
        <w:gridCol w:w="2313"/>
        <w:gridCol w:w="1630"/>
        <w:gridCol w:w="2011"/>
      </w:tblGrid>
      <w:tr w:rsidR="004C1A83" w:rsidRPr="008D0885" w14:paraId="5C51610F" w14:textId="77777777" w:rsidTr="007F1E86">
        <w:trPr>
          <w:trHeight w:val="29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48F6353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  <w:t>Գործունեության ոլորտ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2BE21DB4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  <w:t>Ընկերությունների թիվ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1C9A3EDC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  <w:t>Շահութաբեր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646A47CD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FFFFFF"/>
                <w:lang w:val="hy-AM"/>
              </w:rPr>
              <w:t>Շահույթ/վնաս չեն ձևավորել</w:t>
            </w:r>
          </w:p>
        </w:tc>
      </w:tr>
      <w:tr w:rsidR="004C1A83" w:rsidRPr="008D0885" w14:paraId="758F2963" w14:textId="77777777" w:rsidTr="007F1E86">
        <w:trPr>
          <w:trHeight w:val="29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055145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Առողջապահություն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0B8F39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82384E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76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B6BD75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</w:tr>
      <w:tr w:rsidR="004C1A83" w:rsidRPr="008D0885" w14:paraId="2E97C9A5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33C3CA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 xml:space="preserve">Էներգետիկա 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392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1CE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68A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</w:tr>
      <w:tr w:rsidR="004C1A83" w:rsidRPr="008D0885" w14:paraId="1911E6F1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1F8CCC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Գիտություն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691706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A4FB66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4D5711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</w:tr>
      <w:tr w:rsidR="004C1A83" w:rsidRPr="008D0885" w14:paraId="157AE258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D57521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Արդյունաբերություն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B10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A1D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FA8D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30F5DD40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A0BC2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 xml:space="preserve">Ջրային տնտեսություն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B1D764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A0B680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86158F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3DC0906C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35B2F8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Կրթություն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251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852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2C9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6683F8BE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714C30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Հեռուստառադիո-հեռարձակում, կապ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8495D1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745E98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5DEE19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</w:tr>
      <w:tr w:rsidR="004C1A83" w:rsidRPr="008D0885" w14:paraId="09042314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EA6BAF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 xml:space="preserve">Սպորտային և մարզական միջոցառումների կազմակերպում  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08A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A45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C05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</w:tr>
      <w:tr w:rsidR="004C1A83" w:rsidRPr="008D0885" w14:paraId="390EB1A2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C25FC6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Հրատարակչական, տեղեկատվական ծառայություններ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E120E6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B7D5AC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8CF138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25FF746C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167DA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Տրանսպորտ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B10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660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383E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5414AF05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221B2A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Փոստ և կապ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79027C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611BED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791483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0C6EB955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8B2CF5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Տեղեկատվական տեխնոլոգիաներ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A2F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4C58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BB1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4D3E149C" w14:textId="77777777" w:rsidTr="007F1E86">
        <w:trPr>
          <w:trHeight w:val="327"/>
        </w:trPr>
        <w:tc>
          <w:tcPr>
            <w:tcW w:w="41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C8B82A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Այլ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4DE545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6162E1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1B3146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4C1A83" w:rsidRPr="008D0885" w14:paraId="12EF9571" w14:textId="77777777" w:rsidTr="007F1E86">
        <w:trPr>
          <w:trHeight w:val="327"/>
        </w:trPr>
        <w:tc>
          <w:tcPr>
            <w:tcW w:w="4106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A977C4" w14:textId="77777777" w:rsidR="004C1A83" w:rsidRPr="008D0885" w:rsidRDefault="004C1A83" w:rsidP="007F1E8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4E7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188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E92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118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9E8" w14:textId="77777777" w:rsidR="004C1A83" w:rsidRPr="008D0885" w:rsidRDefault="004C1A83" w:rsidP="007F1E8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8D0885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9</w:t>
            </w:r>
          </w:p>
        </w:tc>
      </w:tr>
    </w:tbl>
    <w:p w14:paraId="0C44C2B5" w14:textId="77777777" w:rsidR="004C1A83" w:rsidRPr="008D0885" w:rsidRDefault="004C1A83" w:rsidP="004C1A83">
      <w:pPr>
        <w:pStyle w:val="ListParagraph"/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44EE4523" w14:textId="77777777" w:rsidR="004C1A83" w:rsidRPr="008D0885" w:rsidRDefault="004C1A83" w:rsidP="004C1A83">
      <w:pPr>
        <w:ind w:firstLine="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sz w:val="24"/>
          <w:szCs w:val="24"/>
          <w:lang w:val="hy-AM"/>
        </w:rPr>
        <w:t>Ակտիվների 61%-ը պատկանում է 8 ընկերության՝ «Հայփոստ» ՓԲԸ, «Բարձրավոլտ էլեկտրացանցեր» ՓԲԸ, «Երևանի ՋԷԿ» ՓԲԸ, «Հայկական ատոմային էլեկտրակայան» ՓԲԸ, «Էլեկտրաէներգետիկական համակարգի օպերատոր» ՓԲԸ, «Կարեն Դեմիրճյանի անվան Երևանի մետրոպոլիտեն» ՓԲԸ, «Հաշվարկային կենտրոն» ՓԲԸ, «Երևան Ավտոբուս» ՓԲԸ:</w:t>
      </w:r>
    </w:p>
    <w:p w14:paraId="03DF3014" w14:textId="12774F81" w:rsidR="004C1A83" w:rsidRPr="008D0885" w:rsidRDefault="004C1A83" w:rsidP="004C1A83">
      <w:pPr>
        <w:ind w:firstLine="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hAnsi="GHEA Grapalat"/>
          <w:sz w:val="24"/>
          <w:szCs w:val="24"/>
          <w:lang w:val="hy-AM"/>
        </w:rPr>
        <w:t>Ընդհանուր առմամբ, դիտարկված ՊՄԸ-ները 2022թ</w:t>
      </w:r>
      <w:r w:rsidRPr="008D08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D0885">
        <w:rPr>
          <w:rFonts w:ascii="GHEA Grapalat" w:hAnsi="GHEA Grapalat"/>
          <w:sz w:val="24"/>
          <w:szCs w:val="24"/>
          <w:lang w:val="hy-AM"/>
        </w:rPr>
        <w:t>-ի վերջի դրությամբ  գեներացրել են մո</w:t>
      </w:r>
      <w:r w:rsidR="006B6411">
        <w:rPr>
          <w:rFonts w:ascii="GHEA Grapalat" w:hAnsi="GHEA Grapalat"/>
          <w:sz w:val="24"/>
          <w:szCs w:val="24"/>
          <w:lang w:val="hy-AM"/>
        </w:rPr>
        <w:t>տ 69</w:t>
      </w:r>
      <w:r w:rsidRPr="008D0885">
        <w:rPr>
          <w:rFonts w:ascii="GHEA Grapalat" w:hAnsi="GHEA Grapalat"/>
          <w:sz w:val="24"/>
          <w:szCs w:val="24"/>
          <w:lang w:val="hy-AM"/>
        </w:rPr>
        <w:t xml:space="preserve"> մլրդ ՀՀ դրամ </w:t>
      </w:r>
      <w:r w:rsidR="004037F3" w:rsidRPr="00901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7F3">
        <w:rPr>
          <w:rFonts w:ascii="GHEA Grapalat" w:hAnsi="GHEA Grapalat"/>
          <w:sz w:val="24"/>
          <w:szCs w:val="24"/>
          <w:lang w:val="hy-AM"/>
        </w:rPr>
        <w:t>զ</w:t>
      </w:r>
      <w:r w:rsidR="004037F3" w:rsidRPr="00901311">
        <w:rPr>
          <w:rFonts w:ascii="GHEA Grapalat" w:hAnsi="GHEA Grapalat"/>
          <w:sz w:val="24"/>
          <w:szCs w:val="24"/>
          <w:lang w:val="hy-AM"/>
        </w:rPr>
        <w:t>ուտ շահույթ շահութահարկի գծով ծախսի նվազեցումից հետո</w:t>
      </w:r>
      <w:r w:rsidRPr="008D0885">
        <w:rPr>
          <w:rFonts w:ascii="GHEA Grapalat" w:hAnsi="GHEA Grapalat"/>
          <w:sz w:val="24"/>
          <w:szCs w:val="24"/>
          <w:lang w:val="hy-AM"/>
        </w:rPr>
        <w:t xml:space="preserve">, որից </w:t>
      </w:r>
      <w:r w:rsidR="006B6411">
        <w:rPr>
          <w:rFonts w:ascii="GHEA Grapalat" w:hAnsi="GHEA Grapalat"/>
          <w:sz w:val="24"/>
          <w:szCs w:val="24"/>
          <w:lang w:val="hy-AM"/>
        </w:rPr>
        <w:t>ավելի քան</w:t>
      </w:r>
      <w:r w:rsidRPr="008D0885">
        <w:rPr>
          <w:rFonts w:ascii="GHEA Grapalat" w:hAnsi="GHEA Grapalat"/>
          <w:sz w:val="24"/>
          <w:szCs w:val="24"/>
          <w:lang w:val="hy-AM"/>
        </w:rPr>
        <w:t xml:space="preserve"> 9</w:t>
      </w:r>
      <w:r w:rsidR="006B6411">
        <w:rPr>
          <w:rFonts w:ascii="GHEA Grapalat" w:hAnsi="GHEA Grapalat"/>
          <w:sz w:val="24"/>
          <w:szCs w:val="24"/>
          <w:lang w:val="hy-AM"/>
        </w:rPr>
        <w:t>0</w:t>
      </w:r>
      <w:r w:rsidRPr="008D0885">
        <w:rPr>
          <w:rFonts w:ascii="GHEA Grapalat" w:hAnsi="GHEA Grapalat"/>
          <w:sz w:val="24"/>
          <w:szCs w:val="24"/>
          <w:lang w:val="hy-AM"/>
        </w:rPr>
        <w:t>%</w:t>
      </w:r>
      <w:r w:rsidR="006B6411">
        <w:rPr>
          <w:rFonts w:ascii="GHEA Grapalat" w:hAnsi="GHEA Grapalat"/>
          <w:sz w:val="24"/>
          <w:szCs w:val="24"/>
          <w:lang w:val="hy-AM"/>
        </w:rPr>
        <w:t>-ը</w:t>
      </w:r>
      <w:r w:rsidRPr="008D0885">
        <w:rPr>
          <w:rFonts w:ascii="GHEA Grapalat" w:hAnsi="GHEA Grapalat"/>
          <w:sz w:val="24"/>
          <w:szCs w:val="24"/>
          <w:lang w:val="hy-AM"/>
        </w:rPr>
        <w:t xml:space="preserve"> գեներացվել է Էներգետիկ ոլորտի կող</w:t>
      </w:r>
      <w:r w:rsidR="00026253" w:rsidRPr="001A3C48">
        <w:rPr>
          <w:rFonts w:ascii="GHEA Grapalat" w:hAnsi="GHEA Grapalat"/>
          <w:sz w:val="24"/>
          <w:szCs w:val="24"/>
          <w:lang w:val="hy-AM"/>
        </w:rPr>
        <w:t>մ</w:t>
      </w:r>
      <w:r w:rsidRPr="008D0885">
        <w:rPr>
          <w:rFonts w:ascii="GHEA Grapalat" w:hAnsi="GHEA Grapalat"/>
          <w:sz w:val="24"/>
          <w:szCs w:val="24"/>
          <w:lang w:val="hy-AM"/>
        </w:rPr>
        <w:t xml:space="preserve">ից, իսկ ՊՄԸ-երի 32%-ը աշխատել է վնասով: </w:t>
      </w:r>
    </w:p>
    <w:p w14:paraId="24441302" w14:textId="77777777" w:rsidR="004C1A83" w:rsidRPr="008D0885" w:rsidRDefault="004C1A83" w:rsidP="004C1A83">
      <w:pPr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 xml:space="preserve">  </w:t>
      </w:r>
    </w:p>
    <w:p w14:paraId="6299FFDA" w14:textId="77777777" w:rsidR="004C1A83" w:rsidRPr="008D0885" w:rsidRDefault="004C1A83" w:rsidP="004C1A83">
      <w:pPr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b/>
          <w:sz w:val="24"/>
          <w:szCs w:val="24"/>
          <w:lang w:val="hy-AM"/>
        </w:rPr>
        <w:t>ՀՀ-ում գործող ՊՄԸ-երի բաշխումը՝ ըստ շահութաբերության</w:t>
      </w:r>
    </w:p>
    <w:p w14:paraId="48F93D04" w14:textId="77777777" w:rsidR="004C1A83" w:rsidRPr="008D0885" w:rsidRDefault="004C1A83" w:rsidP="004C1A83">
      <w:pPr>
        <w:jc w:val="right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b/>
          <w:sz w:val="24"/>
          <w:szCs w:val="24"/>
          <w:lang w:val="hy-AM"/>
        </w:rPr>
        <w:t>Գծապատկեր 6</w:t>
      </w:r>
      <w:r w:rsidRPr="008D0885">
        <w:rPr>
          <w:rFonts w:ascii="Cambria Math" w:eastAsia="Tahoma" w:hAnsi="Cambria Math" w:cs="Cambria Math"/>
          <w:b/>
          <w:sz w:val="24"/>
          <w:szCs w:val="24"/>
          <w:lang w:val="hy-AM"/>
        </w:rPr>
        <w:t>․</w:t>
      </w:r>
      <w:r w:rsidRPr="008D088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 </w:t>
      </w:r>
    </w:p>
    <w:p w14:paraId="1CA68EBC" w14:textId="77777777" w:rsidR="004C1A83" w:rsidRPr="008D0885" w:rsidRDefault="004C1A83" w:rsidP="004C1A83">
      <w:pPr>
        <w:jc w:val="center"/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05A4753B" wp14:editId="113203BF">
            <wp:extent cx="3819525" cy="2600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7254" w14:textId="77777777" w:rsidR="004C1A83" w:rsidRPr="008D0885" w:rsidRDefault="004C1A83" w:rsidP="004C1A8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0885">
        <w:rPr>
          <w:rFonts w:ascii="GHEA Grapalat" w:hAnsi="GHEA Grapalat"/>
          <w:sz w:val="24"/>
          <w:szCs w:val="24"/>
          <w:lang w:val="hy-AM"/>
        </w:rPr>
        <w:t>Պետական և համայնքային ընկերություններում աշխատակիցների միջին թվաքանակը 2022թ</w:t>
      </w:r>
      <w:r w:rsidRPr="008D08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D0885">
        <w:rPr>
          <w:rFonts w:ascii="GHEA Grapalat" w:hAnsi="GHEA Grapalat"/>
          <w:sz w:val="24"/>
          <w:szCs w:val="24"/>
          <w:lang w:val="hy-AM"/>
        </w:rPr>
        <w:t xml:space="preserve"> վերջի դրությամբ կազմել է շուրջ 33,750 մարդ։ ՊՄԸ-ների պարտք/ՀՆԱ հարաբերակցությունը 2022թ-ի վերջի դրությամբ կազմում է 5.3%: </w:t>
      </w:r>
    </w:p>
    <w:p w14:paraId="7134C48C" w14:textId="77777777" w:rsidR="004C1A83" w:rsidRPr="008D0885" w:rsidRDefault="004C1A83" w:rsidP="004C1A8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0885">
        <w:rPr>
          <w:rFonts w:ascii="GHEA Grapalat" w:hAnsi="GHEA Grapalat"/>
          <w:sz w:val="24"/>
          <w:szCs w:val="24"/>
          <w:lang w:val="hy-AM"/>
        </w:rPr>
        <w:t>Ստորև՝ ներկայացված են նաև ակտիվների և սեփական կապիտալի շահութաբերությունը, ինչպես նաև պարտք/սեփական կապիտալ հարաբերակցությունը՝ ըստ ոլորտների։</w:t>
      </w:r>
    </w:p>
    <w:p w14:paraId="10652C5E" w14:textId="77777777" w:rsidR="004C1A83" w:rsidRPr="008D0885" w:rsidRDefault="004C1A83" w:rsidP="004C1A83">
      <w:pPr>
        <w:ind w:firstLine="720"/>
        <w:jc w:val="center"/>
        <w:rPr>
          <w:rFonts w:ascii="GHEA Grapalat" w:eastAsia="Arial" w:hAnsi="GHEA Grapalat" w:cs="Arial"/>
          <w:b/>
          <w:lang w:val="hy-AM"/>
        </w:rPr>
      </w:pPr>
    </w:p>
    <w:p w14:paraId="1463CF38" w14:textId="721F1707" w:rsidR="004C1A83" w:rsidRPr="00EB6075" w:rsidRDefault="004C1A83" w:rsidP="00EB6075">
      <w:pPr>
        <w:jc w:val="center"/>
        <w:rPr>
          <w:rFonts w:ascii="GHEA Grapalat" w:eastAsia="Arial" w:hAnsi="GHEA Grapalat" w:cs="Arial"/>
          <w:b/>
          <w:sz w:val="24"/>
          <w:lang w:val="hy-AM"/>
        </w:rPr>
      </w:pPr>
      <w:r w:rsidRPr="00EB6075">
        <w:rPr>
          <w:rFonts w:ascii="GHEA Grapalat" w:eastAsia="Arial" w:hAnsi="GHEA Grapalat" w:cs="Arial"/>
          <w:b/>
          <w:sz w:val="24"/>
          <w:lang w:val="hy-AM"/>
        </w:rPr>
        <w:t>Աղյուսակ 3. ՊՄԸ-ների ակտիվների շահութաբերությունը</w:t>
      </w:r>
      <w:r w:rsidR="0072338B">
        <w:rPr>
          <w:rFonts w:ascii="GHEA Grapalat" w:eastAsia="Arial" w:hAnsi="GHEA Grapalat" w:cs="Arial"/>
          <w:b/>
          <w:sz w:val="24"/>
          <w:lang w:val="hy-AM"/>
        </w:rPr>
        <w:t>՝</w:t>
      </w:r>
      <w:r w:rsidRPr="00EB6075">
        <w:rPr>
          <w:rFonts w:ascii="GHEA Grapalat" w:eastAsia="Arial" w:hAnsi="GHEA Grapalat" w:cs="Arial"/>
          <w:b/>
          <w:sz w:val="24"/>
          <w:lang w:val="hy-AM"/>
        </w:rPr>
        <w:t xml:space="preserve"> ըստ ոլորտների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2220"/>
        <w:gridCol w:w="1965"/>
        <w:gridCol w:w="1470"/>
      </w:tblGrid>
      <w:tr w:rsidR="004C1A83" w:rsidRPr="00EB6075" w14:paraId="28BCDE28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4C3E" w14:textId="77777777" w:rsidR="004C1A83" w:rsidRPr="00EB6075" w:rsidRDefault="004C1A83" w:rsidP="007F1E86">
            <w:pPr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  <w:t>Ոլորտ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C981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  <w:t>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31AE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  <w:t>2021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B58E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b/>
                <w:color w:val="FFFFFF" w:themeColor="background1"/>
                <w:sz w:val="22"/>
                <w:szCs w:val="22"/>
                <w:lang w:val="hy-AM"/>
              </w:rPr>
              <w:t>2022</w:t>
            </w:r>
          </w:p>
        </w:tc>
      </w:tr>
      <w:tr w:rsidR="004C1A83" w:rsidRPr="00EB6075" w14:paraId="3ED2BA40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68A3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Առողջապահություն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39B0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F42C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2%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10A8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-2%</w:t>
            </w:r>
          </w:p>
        </w:tc>
      </w:tr>
      <w:tr w:rsidR="004C1A83" w:rsidRPr="00EB6075" w14:paraId="7E588EEE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EC16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Էներգետիկա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E2BA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-4%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F87F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6%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14F4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5%</w:t>
            </w:r>
          </w:p>
        </w:tc>
      </w:tr>
      <w:tr w:rsidR="004C1A83" w:rsidRPr="00EB6075" w14:paraId="3B521978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4CCE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368E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5%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B682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4%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79AA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1%</w:t>
            </w:r>
          </w:p>
        </w:tc>
      </w:tr>
      <w:tr w:rsidR="004C1A83" w:rsidRPr="00EB6075" w14:paraId="03952281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D899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Արդյունաբերություն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54C6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1F0D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-1%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F783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-3%</w:t>
            </w:r>
          </w:p>
        </w:tc>
      </w:tr>
      <w:tr w:rsidR="004C1A83" w:rsidRPr="00EB6075" w14:paraId="75005B77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4E09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Ջրային տնտեսություն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7852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1%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E5D1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0%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3881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0%</w:t>
            </w:r>
          </w:p>
        </w:tc>
      </w:tr>
      <w:tr w:rsidR="004C1A83" w:rsidRPr="00EB6075" w14:paraId="28EC5CD5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E3AF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Կրթություն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895E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30%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97FE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4%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B1A1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9%</w:t>
            </w:r>
          </w:p>
        </w:tc>
      </w:tr>
      <w:tr w:rsidR="004C1A83" w:rsidRPr="00EB6075" w14:paraId="3E38AFEB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2E13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lastRenderedPageBreak/>
              <w:t>Հեռուստառադիո-հեռարձակում, կապ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4872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2%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2A70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2%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C92D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1%</w:t>
            </w:r>
          </w:p>
        </w:tc>
      </w:tr>
      <w:tr w:rsidR="004C1A83" w:rsidRPr="00EB6075" w14:paraId="4C52E86C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ABDB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Սպորտային և մարզական միջոցառումների կազմակերպում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B019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-4%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8A1F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1%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9556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0%</w:t>
            </w:r>
          </w:p>
        </w:tc>
      </w:tr>
      <w:tr w:rsidR="004C1A83" w:rsidRPr="00EB6075" w14:paraId="3634C2C7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4B88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Հրատարակչական, տեղեկատվական ծառայություններ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6124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12%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9FE2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14%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7A0B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7%</w:t>
            </w:r>
          </w:p>
        </w:tc>
      </w:tr>
      <w:tr w:rsidR="004C1A83" w:rsidRPr="00EB6075" w14:paraId="7384D7ED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0A69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Տրանսպորտ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27E1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-6%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8C07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3%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9F3E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0%</w:t>
            </w:r>
          </w:p>
        </w:tc>
      </w:tr>
      <w:tr w:rsidR="004C1A83" w:rsidRPr="00EB6075" w14:paraId="053A9B61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8719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Փոստ և կապ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A86A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-6%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DEA5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10%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4E9C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9%</w:t>
            </w:r>
          </w:p>
        </w:tc>
      </w:tr>
      <w:tr w:rsidR="004C1A83" w:rsidRPr="00EB6075" w14:paraId="34A9D7B8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9083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Տեղեկատվական տեխնոլոգիաներ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B4E1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20%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D38F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20%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FB27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35%</w:t>
            </w:r>
          </w:p>
        </w:tc>
      </w:tr>
      <w:tr w:rsidR="004C1A83" w:rsidRPr="00EB6075" w14:paraId="2DF8BD5A" w14:textId="77777777" w:rsidTr="007F1E86">
        <w:trPr>
          <w:trHeight w:val="20"/>
        </w:trPr>
        <w:tc>
          <w:tcPr>
            <w:tcW w:w="370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6B6F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Այլ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6701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-20%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5793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-4%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5D73" w14:textId="77777777" w:rsidR="004C1A83" w:rsidRPr="00EB6075" w:rsidRDefault="004C1A83" w:rsidP="007F1E86">
            <w:pPr>
              <w:ind w:firstLine="720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Arial" w:hAnsi="GHEA Grapalat" w:cs="Arial"/>
                <w:sz w:val="22"/>
                <w:szCs w:val="22"/>
                <w:lang w:val="hy-AM"/>
              </w:rPr>
              <w:t>8%</w:t>
            </w:r>
          </w:p>
        </w:tc>
      </w:tr>
    </w:tbl>
    <w:p w14:paraId="3A84DE7E" w14:textId="77777777" w:rsidR="004C1A83" w:rsidRPr="008D0885" w:rsidRDefault="004C1A83" w:rsidP="004C1A83">
      <w:pPr>
        <w:rPr>
          <w:rFonts w:ascii="GHEA Grapalat" w:eastAsia="Arial" w:hAnsi="GHEA Grapalat" w:cs="Arial"/>
          <w:b/>
          <w:lang w:val="hy-AM"/>
        </w:rPr>
      </w:pPr>
    </w:p>
    <w:p w14:paraId="1658557A" w14:textId="77777777" w:rsidR="004C1A83" w:rsidRPr="008D0885" w:rsidRDefault="004C1A83" w:rsidP="004C1A83">
      <w:pPr>
        <w:rPr>
          <w:rFonts w:ascii="GHEA Grapalat" w:eastAsia="Arial" w:hAnsi="GHEA Grapalat" w:cs="Arial"/>
          <w:b/>
          <w:lang w:val="hy-AM"/>
        </w:rPr>
      </w:pPr>
    </w:p>
    <w:p w14:paraId="55D3EAA8" w14:textId="674CB2C3" w:rsidR="004C1A83" w:rsidRPr="00EB6075" w:rsidRDefault="004C1A83" w:rsidP="00EB6075">
      <w:pPr>
        <w:jc w:val="center"/>
        <w:rPr>
          <w:rFonts w:ascii="GHEA Grapalat" w:eastAsia="Arial" w:hAnsi="GHEA Grapalat" w:cs="Arial"/>
          <w:b/>
          <w:sz w:val="24"/>
          <w:lang w:val="hy-AM"/>
        </w:rPr>
      </w:pPr>
      <w:r w:rsidRPr="00EB6075">
        <w:rPr>
          <w:rFonts w:ascii="GHEA Grapalat" w:eastAsia="Arial" w:hAnsi="GHEA Grapalat" w:cs="Arial"/>
          <w:b/>
          <w:sz w:val="24"/>
          <w:lang w:val="hy-AM"/>
        </w:rPr>
        <w:t>Աղյուսակ 4. ՊՄԸ-ների սեփական կապիտալի շահութաբերությունը</w:t>
      </w:r>
      <w:r w:rsidR="0072338B">
        <w:rPr>
          <w:rFonts w:ascii="GHEA Grapalat" w:eastAsia="Arial" w:hAnsi="GHEA Grapalat" w:cs="Arial"/>
          <w:b/>
          <w:sz w:val="24"/>
          <w:lang w:val="hy-AM"/>
        </w:rPr>
        <w:t>՝</w:t>
      </w:r>
      <w:r w:rsidRPr="00EB6075">
        <w:rPr>
          <w:rFonts w:ascii="GHEA Grapalat" w:eastAsia="Arial" w:hAnsi="GHEA Grapalat" w:cs="Arial"/>
          <w:b/>
          <w:sz w:val="24"/>
          <w:lang w:val="hy-AM"/>
        </w:rPr>
        <w:t xml:space="preserve"> ըստ ոլորտների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890"/>
        <w:gridCol w:w="1650"/>
        <w:gridCol w:w="1995"/>
      </w:tblGrid>
      <w:tr w:rsidR="004C1A83" w:rsidRPr="00EB6075" w14:paraId="1933878F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17DB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b/>
                <w:color w:val="FFFFFF"/>
                <w:sz w:val="22"/>
                <w:szCs w:val="22"/>
                <w:lang w:val="hy-AM"/>
              </w:rPr>
              <w:t>Ոլորտ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0AD2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b/>
                <w:color w:val="FFFFFF"/>
                <w:sz w:val="22"/>
                <w:szCs w:val="22"/>
                <w:lang w:val="hy-AM"/>
              </w:rPr>
              <w:t>2020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E118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b/>
                <w:color w:val="FFFFFF"/>
                <w:sz w:val="22"/>
                <w:szCs w:val="22"/>
                <w:lang w:val="hy-AM"/>
              </w:rPr>
              <w:t>2021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4882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b/>
                <w:color w:val="FFFFFF"/>
                <w:sz w:val="22"/>
                <w:szCs w:val="22"/>
                <w:lang w:val="hy-AM"/>
              </w:rPr>
              <w:t>2022</w:t>
            </w:r>
          </w:p>
        </w:tc>
      </w:tr>
      <w:tr w:rsidR="004C1A83" w:rsidRPr="00EB6075" w14:paraId="6C59D0A4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34BD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Առողջապահություն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34EB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-6%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D152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2%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083C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-491%</w:t>
            </w:r>
          </w:p>
        </w:tc>
      </w:tr>
      <w:tr w:rsidR="004C1A83" w:rsidRPr="00EB6075" w14:paraId="6EF1B6DF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2487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 xml:space="preserve">Էներգետիկա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401D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-2%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4FAF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42%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BA6E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18%</w:t>
            </w:r>
          </w:p>
        </w:tc>
      </w:tr>
      <w:tr w:rsidR="004C1A83" w:rsidRPr="00EB6075" w14:paraId="2A53C017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6998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CB4E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9%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3612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36%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1600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3%</w:t>
            </w:r>
          </w:p>
        </w:tc>
      </w:tr>
      <w:tr w:rsidR="004C1A83" w:rsidRPr="00EB6075" w14:paraId="43FDD1B5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EDC5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Արդյունաբերություն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A058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-4%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1A87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0%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5641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-3%</w:t>
            </w:r>
          </w:p>
        </w:tc>
      </w:tr>
      <w:tr w:rsidR="004C1A83" w:rsidRPr="00EB6075" w14:paraId="0B4119F8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DB47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 xml:space="preserve">Ջրային տնտեսություն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1A6C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5CCE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0%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0DD2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1%</w:t>
            </w:r>
          </w:p>
        </w:tc>
      </w:tr>
      <w:tr w:rsidR="004C1A83" w:rsidRPr="00EB6075" w14:paraId="7D4AFDC5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E90D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Կրթություն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8D22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47%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4365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8%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3EDA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3%</w:t>
            </w:r>
          </w:p>
        </w:tc>
      </w:tr>
      <w:tr w:rsidR="004C1A83" w:rsidRPr="00EB6075" w14:paraId="35A5D61A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60D5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Հեռուստառադիո-հեռարձակում, կապ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A55E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5%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E6C2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3%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71A0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1%</w:t>
            </w:r>
          </w:p>
        </w:tc>
      </w:tr>
      <w:tr w:rsidR="004C1A83" w:rsidRPr="00EB6075" w14:paraId="7618B83C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6828" w14:textId="77777777" w:rsidR="004C1A83" w:rsidRPr="00EB6075" w:rsidRDefault="004C1A83" w:rsidP="007F1E86">
            <w:pPr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lastRenderedPageBreak/>
              <w:t xml:space="preserve">Սպորտային և մարզական միջոցառումների կազմակերպում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8FAA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-57%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2B07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9%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5CD9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11%</w:t>
            </w:r>
          </w:p>
        </w:tc>
      </w:tr>
      <w:tr w:rsidR="004C1A83" w:rsidRPr="00EB6075" w14:paraId="41CF5B12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D9F9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Հրատարակչական, տեղեկատվական ծառայություններ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E8D1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23%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7F14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26%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047E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13%</w:t>
            </w:r>
          </w:p>
        </w:tc>
      </w:tr>
      <w:tr w:rsidR="004C1A83" w:rsidRPr="00EB6075" w14:paraId="3928C275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A0C6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Տրանսպորտ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A099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-1243%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F129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-34%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9B18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-74%</w:t>
            </w:r>
          </w:p>
        </w:tc>
      </w:tr>
      <w:tr w:rsidR="004C1A83" w:rsidRPr="00EB6075" w14:paraId="677FB728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DB11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Փոստ և կապ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0FD7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-8%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7DE7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10%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D5BE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10%</w:t>
            </w:r>
          </w:p>
        </w:tc>
      </w:tr>
      <w:tr w:rsidR="004C1A83" w:rsidRPr="00EB6075" w14:paraId="4575447C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7145" w14:textId="77777777" w:rsidR="004C1A83" w:rsidRPr="00EB6075" w:rsidRDefault="004C1A83" w:rsidP="007F1E86">
            <w:pPr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Տեղեկատվական տեխնոլոգիաներ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2195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41%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2FD6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39%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155C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Arial" w:hAnsi="GHEA Grapalat" w:cs="Arial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53%</w:t>
            </w:r>
          </w:p>
        </w:tc>
      </w:tr>
      <w:tr w:rsidR="004C1A83" w:rsidRPr="00EB6075" w14:paraId="0ACD03A0" w14:textId="77777777" w:rsidTr="007F1E86">
        <w:trPr>
          <w:trHeight w:val="57"/>
        </w:trPr>
        <w:tc>
          <w:tcPr>
            <w:tcW w:w="3825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2FA0" w14:textId="77777777" w:rsidR="004C1A83" w:rsidRPr="00EB6075" w:rsidRDefault="004C1A83" w:rsidP="007F1E86">
            <w:pPr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Այլ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DA26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-129%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D984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-133%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7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8495" w14:textId="77777777" w:rsidR="004C1A83" w:rsidRPr="00EB6075" w:rsidRDefault="004C1A83" w:rsidP="007F1E86">
            <w:pPr>
              <w:ind w:firstLine="720"/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>-34%</w:t>
            </w:r>
          </w:p>
        </w:tc>
      </w:tr>
    </w:tbl>
    <w:p w14:paraId="7610CD24" w14:textId="77777777" w:rsidR="004C1A83" w:rsidRPr="008D0885" w:rsidRDefault="004C1A83" w:rsidP="004C1A83">
      <w:pPr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7D9ACADF" w14:textId="55E8F6FE" w:rsidR="004C1A83" w:rsidRPr="008D0885" w:rsidRDefault="004C1A83" w:rsidP="004C1A83">
      <w:pPr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Աղյուսակ 5. ՊՄԸ-ների </w:t>
      </w:r>
      <w:r w:rsidR="006B6411">
        <w:rPr>
          <w:rFonts w:ascii="GHEA Grapalat" w:eastAsia="Tahoma" w:hAnsi="GHEA Grapalat" w:cs="Tahoma"/>
          <w:b/>
          <w:sz w:val="24"/>
          <w:szCs w:val="24"/>
          <w:lang w:val="hy-AM"/>
        </w:rPr>
        <w:t>պարտավորություն</w:t>
      </w:r>
      <w:r w:rsidRPr="008D088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սեփական կապիտալ հարաբերակցությունը՝ ըստ ոլորտների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65"/>
        <w:gridCol w:w="1545"/>
        <w:gridCol w:w="1860"/>
      </w:tblGrid>
      <w:tr w:rsidR="004C1A83" w:rsidRPr="00EB6075" w14:paraId="01C4FCD7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C353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  <w:t>Ոլորտ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19CC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  <w:t>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8E5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  <w:t>2021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44F3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b/>
                <w:color w:val="FFFFFF" w:themeColor="background1"/>
                <w:sz w:val="22"/>
                <w:szCs w:val="22"/>
                <w:lang w:val="hy-AM"/>
              </w:rPr>
              <w:t>2022</w:t>
            </w:r>
          </w:p>
        </w:tc>
      </w:tr>
      <w:tr w:rsidR="004C1A83" w:rsidRPr="00EB6075" w14:paraId="67346E27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806B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Առողջապահություն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918A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212%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5809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166%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49AE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2689%</w:t>
            </w:r>
          </w:p>
        </w:tc>
      </w:tr>
      <w:tr w:rsidR="004C1A83" w:rsidRPr="00EB6075" w14:paraId="09BB7FE9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B51E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Էներգետիկա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2FC5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139%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534F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529%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E720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218%</w:t>
            </w:r>
          </w:p>
        </w:tc>
      </w:tr>
      <w:tr w:rsidR="004C1A83" w:rsidRPr="00EB6075" w14:paraId="05B254DA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B37B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6B78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58613%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C91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2566%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344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7625%</w:t>
            </w:r>
          </w:p>
        </w:tc>
      </w:tr>
      <w:tr w:rsidR="004C1A83" w:rsidRPr="00EB6075" w14:paraId="6506AA49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F1BC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Արդյունաբերություն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782A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318%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A5F1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259%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01B7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580%</w:t>
            </w:r>
          </w:p>
        </w:tc>
      </w:tr>
      <w:tr w:rsidR="004C1A83" w:rsidRPr="00EB6075" w14:paraId="6553AE37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A66F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Ջրային տնտեսություն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CA17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12%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9F10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8%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DFF5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9%</w:t>
            </w:r>
          </w:p>
        </w:tc>
      </w:tr>
      <w:tr w:rsidR="004C1A83" w:rsidRPr="00EB6075" w14:paraId="745B4A68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69B1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Կրթություն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92DA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78%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9016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121%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5C22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164%</w:t>
            </w:r>
          </w:p>
        </w:tc>
      </w:tr>
      <w:tr w:rsidR="004C1A83" w:rsidRPr="00EB6075" w14:paraId="70D62F5C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719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Հեռուստառադիո-հեռարձակում, կապ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7B5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953%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64D9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627%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85F0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627%</w:t>
            </w:r>
          </w:p>
        </w:tc>
      </w:tr>
      <w:tr w:rsidR="004C1A83" w:rsidRPr="00EB6075" w14:paraId="53731EE8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E131" w14:textId="77777777" w:rsidR="004C1A83" w:rsidRPr="00EB6075" w:rsidRDefault="004C1A83" w:rsidP="007F1E86">
            <w:pPr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Սպորտային և մարզական միջոցառումների կազմակերպում 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0FE9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3636%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21D3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3392%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A717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1764%</w:t>
            </w:r>
          </w:p>
        </w:tc>
      </w:tr>
      <w:tr w:rsidR="004C1A83" w:rsidRPr="00EB6075" w14:paraId="30195A60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865F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Հրատարակչական, տեղեկատվական ծառայություններ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A70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99%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94F0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99%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854A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82%</w:t>
            </w:r>
          </w:p>
        </w:tc>
      </w:tr>
      <w:tr w:rsidR="004C1A83" w:rsidRPr="00EB6075" w14:paraId="212BA57F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DD54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lastRenderedPageBreak/>
              <w:t>Տրանսպորտ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D229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3320%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1EE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1228%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2E21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659%</w:t>
            </w:r>
          </w:p>
        </w:tc>
      </w:tr>
      <w:tr w:rsidR="004C1A83" w:rsidRPr="00EB6075" w14:paraId="3CD8151B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B635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Փոստ և կապ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C428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51%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EF25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44%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5CA0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57%</w:t>
            </w:r>
          </w:p>
        </w:tc>
      </w:tr>
      <w:tr w:rsidR="004C1A83" w:rsidRPr="00EB6075" w14:paraId="6CED1230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8260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Տեղեկատվական տեխնոլոգիաներ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8759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126%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3F71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103%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B149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78%</w:t>
            </w:r>
          </w:p>
        </w:tc>
      </w:tr>
      <w:tr w:rsidR="004C1A83" w:rsidRPr="00EB6075" w14:paraId="0E466CD7" w14:textId="77777777" w:rsidTr="007F1E86">
        <w:trPr>
          <w:trHeight w:val="500"/>
        </w:trPr>
        <w:tc>
          <w:tcPr>
            <w:tcW w:w="4290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9F04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Այլ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45BA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406%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D246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164%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C23D" w14:textId="77777777" w:rsidR="004C1A83" w:rsidRPr="00EB6075" w:rsidRDefault="004C1A83" w:rsidP="007F1E86">
            <w:pPr>
              <w:jc w:val="both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B6075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155%</w:t>
            </w:r>
          </w:p>
        </w:tc>
      </w:tr>
    </w:tbl>
    <w:p w14:paraId="69A22C3E" w14:textId="77777777" w:rsidR="00EB6075" w:rsidRDefault="00EB6075" w:rsidP="004C1A83">
      <w:pPr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6AC5232A" w14:textId="20A4B436" w:rsidR="004C1A83" w:rsidRPr="008D0885" w:rsidRDefault="004C1A83" w:rsidP="004C1A83">
      <w:pPr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sz w:val="24"/>
          <w:szCs w:val="24"/>
          <w:lang w:val="hy-AM"/>
        </w:rPr>
        <w:t xml:space="preserve">ՀՀ-ում, ՊՄԸ-երի պարտք/սեփական կապիտալ հարաբերակցությունը որոշ ոլորտներում բավականին բարձր է: Բարձր պարտքի հարաբերակցություն ունեցող ընկերությունները համարվում են ավելի ռիսկային, քանի որ նրանք ավելի մեծ պարտքի բեռ ունեն: </w:t>
      </w:r>
    </w:p>
    <w:p w14:paraId="27E2E564" w14:textId="2F5449A2" w:rsidR="004C1A83" w:rsidRPr="008D0885" w:rsidRDefault="004C1A83" w:rsidP="004C1A83">
      <w:pPr>
        <w:ind w:firstLine="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sz w:val="24"/>
          <w:szCs w:val="24"/>
          <w:lang w:val="hy-AM"/>
        </w:rPr>
        <w:t>2022 թ-ին ընդհանուր փաստացի վճարված  շահութաբաժինների գումարը ՀՀ պետական բյուջե կազմել է</w:t>
      </w:r>
      <w:r w:rsidR="004B48FA">
        <w:rPr>
          <w:rFonts w:ascii="GHEA Grapalat" w:eastAsia="Tahoma" w:hAnsi="GHEA Grapalat" w:cs="Tahoma"/>
          <w:sz w:val="24"/>
          <w:szCs w:val="24"/>
          <w:lang w:val="hy-AM"/>
        </w:rPr>
        <w:t xml:space="preserve"> 2</w:t>
      </w:r>
      <w:r w:rsidRPr="008D0885">
        <w:rPr>
          <w:rFonts w:ascii="GHEA Grapalat" w:eastAsia="Tahoma" w:hAnsi="GHEA Grapalat" w:cs="Tahoma"/>
          <w:sz w:val="24"/>
          <w:szCs w:val="24"/>
          <w:lang w:val="hy-AM"/>
        </w:rPr>
        <w:t>.3 մլրդ ՀՀ դրամ։ Ընդհանուր առմամբ՝ 201</w:t>
      </w:r>
      <w:r w:rsidR="004B48FA" w:rsidRPr="00901311">
        <w:rPr>
          <w:rFonts w:ascii="GHEA Grapalat" w:eastAsia="Tahoma" w:hAnsi="GHEA Grapalat" w:cs="Tahoma"/>
          <w:sz w:val="24"/>
          <w:szCs w:val="24"/>
          <w:lang w:val="hy-AM"/>
        </w:rPr>
        <w:t>7</w:t>
      </w:r>
      <w:r w:rsidRPr="008D0885">
        <w:rPr>
          <w:rFonts w:ascii="GHEA Grapalat" w:eastAsia="Tahoma" w:hAnsi="GHEA Grapalat" w:cs="Tahoma"/>
          <w:sz w:val="24"/>
          <w:szCs w:val="24"/>
          <w:lang w:val="hy-AM"/>
        </w:rPr>
        <w:t>-2022թթ</w:t>
      </w:r>
      <w:r w:rsidRPr="008D0885">
        <w:rPr>
          <w:rFonts w:ascii="Cambria Math" w:eastAsia="Tahoma" w:hAnsi="Cambria Math" w:cs="Cambria Math"/>
          <w:sz w:val="24"/>
          <w:szCs w:val="24"/>
          <w:lang w:val="hy-AM"/>
        </w:rPr>
        <w:t>․</w:t>
      </w:r>
      <w:r w:rsidRPr="008D0885">
        <w:rPr>
          <w:rFonts w:ascii="GHEA Grapalat" w:eastAsia="Tahoma" w:hAnsi="GHEA Grapalat" w:cs="Tahoma"/>
          <w:sz w:val="24"/>
          <w:szCs w:val="24"/>
          <w:lang w:val="hy-AM"/>
        </w:rPr>
        <w:t xml:space="preserve"> պետական ընկերությունների կողմից ՀՀ պետական բյուջե է վճարվել </w:t>
      </w:r>
      <w:r w:rsidR="004B48FA" w:rsidRPr="004B48FA">
        <w:rPr>
          <w:rFonts w:ascii="GHEA Grapalat" w:eastAsia="Tahoma" w:hAnsi="GHEA Grapalat" w:cs="Tahoma"/>
          <w:sz w:val="24"/>
          <w:szCs w:val="24"/>
          <w:lang w:val="hy-AM"/>
        </w:rPr>
        <w:t>10</w:t>
      </w:r>
      <w:r w:rsidRPr="008D0885">
        <w:rPr>
          <w:rFonts w:ascii="Cambria Math" w:eastAsia="Tahoma" w:hAnsi="Cambria Math" w:cs="Cambria Math"/>
          <w:sz w:val="24"/>
          <w:szCs w:val="24"/>
          <w:lang w:val="hy-AM"/>
        </w:rPr>
        <w:t>․</w:t>
      </w:r>
      <w:r w:rsidR="004B48FA">
        <w:rPr>
          <w:rFonts w:ascii="GHEA Grapalat" w:eastAsia="Tahoma" w:hAnsi="GHEA Grapalat" w:cs="Tahoma"/>
          <w:sz w:val="24"/>
          <w:szCs w:val="24"/>
          <w:lang w:val="hy-AM"/>
        </w:rPr>
        <w:t>7</w:t>
      </w:r>
      <w:r w:rsidRPr="008D0885">
        <w:rPr>
          <w:rFonts w:ascii="GHEA Grapalat" w:eastAsia="Tahoma" w:hAnsi="GHEA Grapalat" w:cs="Tahoma"/>
          <w:sz w:val="24"/>
          <w:szCs w:val="24"/>
          <w:lang w:val="hy-AM"/>
        </w:rPr>
        <w:t xml:space="preserve"> մլրդ ՀՀ դրամ</w:t>
      </w:r>
      <w:r w:rsidRPr="008D0885">
        <w:rPr>
          <w:rStyle w:val="FootnoteReference"/>
          <w:rFonts w:ascii="GHEA Grapalat" w:eastAsia="Tahoma" w:hAnsi="GHEA Grapalat" w:cs="Tahoma"/>
          <w:sz w:val="24"/>
          <w:szCs w:val="24"/>
          <w:lang w:val="hy-AM"/>
        </w:rPr>
        <w:footnoteReference w:id="8"/>
      </w:r>
      <w:r w:rsidRPr="008D0885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4686ECCB" w14:textId="77777777" w:rsidR="004C1A83" w:rsidRPr="008D0885" w:rsidRDefault="004C1A83" w:rsidP="004C1A83">
      <w:pPr>
        <w:ind w:left="360" w:firstLine="36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4136FBD1" w14:textId="77777777" w:rsidR="004C1A83" w:rsidRPr="008D0885" w:rsidRDefault="004C1A83" w:rsidP="004C1A83">
      <w:pPr>
        <w:ind w:left="36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b/>
          <w:sz w:val="24"/>
          <w:szCs w:val="24"/>
          <w:lang w:val="hy-AM"/>
        </w:rPr>
        <w:t>ՊՄԸ-ների կողմից շահութաբաժինների գծով փաստացի բյուջետային մուտքեր, ՀՀ հազար դրամ</w:t>
      </w:r>
    </w:p>
    <w:p w14:paraId="7567531F" w14:textId="458868D5" w:rsidR="004C1A83" w:rsidRDefault="004C1A83" w:rsidP="004C1A83">
      <w:pPr>
        <w:ind w:left="360" w:firstLine="360"/>
        <w:jc w:val="right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8D0885">
        <w:rPr>
          <w:rFonts w:ascii="GHEA Grapalat" w:eastAsia="Tahoma" w:hAnsi="GHEA Grapalat" w:cs="Tahoma"/>
          <w:b/>
          <w:sz w:val="24"/>
          <w:szCs w:val="24"/>
          <w:lang w:val="hy-AM"/>
        </w:rPr>
        <w:t>Գծապատկեր 7.</w:t>
      </w:r>
    </w:p>
    <w:p w14:paraId="1D2A8308" w14:textId="4B070C87" w:rsidR="004B48FA" w:rsidRPr="008D0885" w:rsidRDefault="004B48FA" w:rsidP="004B48FA">
      <w:pPr>
        <w:ind w:left="360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68787B98" wp14:editId="0E7BF9FF">
            <wp:extent cx="4710023" cy="2941608"/>
            <wp:effectExtent l="0" t="0" r="14605" b="1143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426F558-2B00-DDD2-38B0-4FED9C8024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50490E" w14:textId="080D2CD8" w:rsidR="00DF7960" w:rsidRPr="00EB6075" w:rsidRDefault="00DF7960" w:rsidP="00EB6075">
      <w:pPr>
        <w:shd w:val="clear" w:color="auto" w:fill="FFFFFF"/>
        <w:spacing w:before="240" w:after="240"/>
        <w:ind w:left="360"/>
        <w:jc w:val="both"/>
        <w:rPr>
          <w:rStyle w:val="Heading2Char"/>
          <w:rFonts w:ascii="GHEA Grapalat" w:eastAsia="Tahoma" w:hAnsi="GHEA Grapalat" w:cs="Tahoma"/>
          <w:color w:val="auto"/>
          <w:sz w:val="24"/>
          <w:szCs w:val="24"/>
          <w:lang w:val="hy-AM"/>
        </w:rPr>
      </w:pPr>
    </w:p>
    <w:sectPr w:rsidR="00DF7960" w:rsidRPr="00EB6075" w:rsidSect="00351842">
      <w:headerReference w:type="default" r:id="rId19"/>
      <w:footerReference w:type="default" r:id="rId20"/>
      <w:pgSz w:w="11906" w:h="16838" w:code="9"/>
      <w:pgMar w:top="1440" w:right="900" w:bottom="1440" w:left="993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0B2C5E7" w16cex:dateUtc="2024-04-21T14:10:00Z"/>
  <w16cex:commentExtensible w16cex:durableId="13528EB6" w16cex:dateUtc="2024-04-21T14:08:00Z"/>
  <w16cex:commentExtensible w16cex:durableId="29D278AD" w16cex:dateUtc="2024-04-23T14:13:00Z"/>
  <w16cex:commentExtensible w16cex:durableId="08580B6E" w16cex:dateUtc="2024-04-21T14:13:00Z"/>
  <w16cex:commentExtensible w16cex:durableId="7F7D1361" w16cex:dateUtc="2024-04-21T14:45:00Z"/>
  <w16cex:commentExtensible w16cex:durableId="5CCB8AB7" w16cex:dateUtc="2024-04-21T14:46:00Z"/>
  <w16cex:commentExtensible w16cex:durableId="10101862" w16cex:dateUtc="2024-04-21T14:50:00Z"/>
  <w16cex:commentExtensible w16cex:durableId="29D28616" w16cex:dateUtc="2024-04-23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86A6E" w16cid:durableId="2B1C9329"/>
  <w16cid:commentId w16cid:paraId="415FA1F1" w16cid:durableId="29D27673"/>
  <w16cid:commentId w16cid:paraId="7FE2AB28" w16cid:durableId="29D27674"/>
  <w16cid:commentId w16cid:paraId="39625230" w16cid:durableId="70B2C5E7"/>
  <w16cid:commentId w16cid:paraId="107C2159" w16cid:durableId="13528EB6"/>
  <w16cid:commentId w16cid:paraId="351BEF23" w16cid:durableId="29D278AD"/>
  <w16cid:commentId w16cid:paraId="1CD475DA" w16cid:durableId="51DC9B71"/>
  <w16cid:commentId w16cid:paraId="6D6861DB" w16cid:durableId="08580B6E"/>
  <w16cid:commentId w16cid:paraId="0C69BD3D" w16cid:durableId="29D2767A"/>
  <w16cid:commentId w16cid:paraId="513DEDE3" w16cid:durableId="183699DF"/>
  <w16cid:commentId w16cid:paraId="581D2298" w16cid:durableId="6FEFD95E"/>
  <w16cid:commentId w16cid:paraId="4827FD63" w16cid:durableId="6422EAB5"/>
  <w16cid:commentId w16cid:paraId="12DB472C" w16cid:durableId="56F2D8F5"/>
  <w16cid:commentId w16cid:paraId="4E256DCF" w16cid:durableId="29D2767F"/>
  <w16cid:commentId w16cid:paraId="2EF1C8A6" w16cid:durableId="0E06B604"/>
  <w16cid:commentId w16cid:paraId="604B6A50" w16cid:durableId="29D27681"/>
  <w16cid:commentId w16cid:paraId="32DC8DCF" w16cid:durableId="277179D9"/>
  <w16cid:commentId w16cid:paraId="128CB5A7" w16cid:durableId="7F7D1361"/>
  <w16cid:commentId w16cid:paraId="76B26A58" w16cid:durableId="5CCB8AB7"/>
  <w16cid:commentId w16cid:paraId="69D203C6" w16cid:durableId="334E8C75"/>
  <w16cid:commentId w16cid:paraId="0F136FFF" w16cid:durableId="10101862"/>
  <w16cid:commentId w16cid:paraId="2655B2C8" w16cid:durableId="7DE98E5B"/>
  <w16cid:commentId w16cid:paraId="5263A643" w16cid:durableId="377E1B08"/>
  <w16cid:commentId w16cid:paraId="653625BE" w16cid:durableId="2076FBF3"/>
  <w16cid:commentId w16cid:paraId="5158DD07" w16cid:durableId="42D72A4A"/>
  <w16cid:commentId w16cid:paraId="2D8D81A9" w16cid:durableId="29D2768B"/>
  <w16cid:commentId w16cid:paraId="66C0315E" w16cid:durableId="12AF3D4D"/>
  <w16cid:commentId w16cid:paraId="2106AF61" w16cid:durableId="548CEC1A"/>
  <w16cid:commentId w16cid:paraId="6BB66B75" w16cid:durableId="29D2768E"/>
  <w16cid:commentId w16cid:paraId="321BA150" w16cid:durableId="75F0276C"/>
  <w16cid:commentId w16cid:paraId="4E7D8C2C" w16cid:durableId="29D27690"/>
  <w16cid:commentId w16cid:paraId="01E2C68B" w16cid:durableId="1F3BEF49"/>
  <w16cid:commentId w16cid:paraId="21E7DA57" w16cid:durableId="7311D6F5"/>
  <w16cid:commentId w16cid:paraId="23FC22C8" w16cid:durableId="29D27693"/>
  <w16cid:commentId w16cid:paraId="1D7BFE55" w16cid:durableId="47109BD0"/>
  <w16cid:commentId w16cid:paraId="73597F7F" w16cid:durableId="29D27695"/>
  <w16cid:commentId w16cid:paraId="6E58A394" w16cid:durableId="29D27696"/>
  <w16cid:commentId w16cid:paraId="7628FDDD" w16cid:durableId="29D28616"/>
  <w16cid:commentId w16cid:paraId="21E09297" w16cid:durableId="79E5EFA0"/>
  <w16cid:commentId w16cid:paraId="2AEC2D3F" w16cid:durableId="29D27698"/>
  <w16cid:commentId w16cid:paraId="7423E9A1" w16cid:durableId="18B947C3"/>
  <w16cid:commentId w16cid:paraId="106B3961" w16cid:durableId="29D2769A"/>
  <w16cid:commentId w16cid:paraId="0E3D07BE" w16cid:durableId="3032C4F8"/>
  <w16cid:commentId w16cid:paraId="42504A13" w16cid:durableId="29D2769C"/>
  <w16cid:commentId w16cid:paraId="05E2F93A" w16cid:durableId="29D2769D"/>
  <w16cid:commentId w16cid:paraId="18E3E315" w16cid:durableId="29D2769E"/>
  <w16cid:commentId w16cid:paraId="7897BBA5" w16cid:durableId="75CC53BE"/>
  <w16cid:commentId w16cid:paraId="325AC03C" w16cid:durableId="29D276A0"/>
  <w16cid:commentId w16cid:paraId="2F99A740" w16cid:durableId="352AC2E8"/>
  <w16cid:commentId w16cid:paraId="53E7724F" w16cid:durableId="09B25993"/>
  <w16cid:commentId w16cid:paraId="7ED9C9AF" w16cid:durableId="29D276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5214" w14:textId="77777777" w:rsidR="006B2B19" w:rsidRDefault="006B2B19" w:rsidP="006C67EF">
      <w:pPr>
        <w:spacing w:after="0" w:line="240" w:lineRule="auto"/>
      </w:pPr>
      <w:r>
        <w:separator/>
      </w:r>
    </w:p>
  </w:endnote>
  <w:endnote w:type="continuationSeparator" w:id="0">
    <w:p w14:paraId="1DCD0F32" w14:textId="77777777" w:rsidR="006B2B19" w:rsidRDefault="006B2B19" w:rsidP="006C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264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68EA5" w14:textId="4E3D3B5F" w:rsidR="00042432" w:rsidRDefault="00042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3E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8AAAED6" w14:textId="77777777" w:rsidR="00042432" w:rsidRDefault="0004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1869" w14:textId="77777777" w:rsidR="006B2B19" w:rsidRDefault="006B2B19" w:rsidP="006C67EF">
      <w:pPr>
        <w:spacing w:after="0" w:line="240" w:lineRule="auto"/>
      </w:pPr>
      <w:r>
        <w:separator/>
      </w:r>
    </w:p>
  </w:footnote>
  <w:footnote w:type="continuationSeparator" w:id="0">
    <w:p w14:paraId="5420EC7B" w14:textId="77777777" w:rsidR="006B2B19" w:rsidRDefault="006B2B19" w:rsidP="006C67EF">
      <w:pPr>
        <w:spacing w:after="0" w:line="240" w:lineRule="auto"/>
      </w:pPr>
      <w:r>
        <w:continuationSeparator/>
      </w:r>
    </w:p>
  </w:footnote>
  <w:footnote w:id="1">
    <w:p w14:paraId="1964E1D5" w14:textId="77777777" w:rsidR="00042432" w:rsidRPr="00264A1D" w:rsidRDefault="00042432" w:rsidP="00997445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64A1D">
        <w:rPr>
          <w:rStyle w:val="FootnoteReference"/>
          <w:rFonts w:ascii="GHEA Grapalat" w:hAnsi="GHEA Grapalat"/>
          <w:sz w:val="18"/>
          <w:szCs w:val="18"/>
        </w:rPr>
        <w:footnoteRef/>
      </w:r>
      <w:r w:rsidRPr="00264A1D">
        <w:rPr>
          <w:rFonts w:ascii="GHEA Grapalat" w:hAnsi="GHEA Grapalat"/>
          <w:sz w:val="18"/>
          <w:szCs w:val="18"/>
        </w:rPr>
        <w:t xml:space="preserve"> «</w:t>
      </w:r>
      <w:proofErr w:type="spellStart"/>
      <w:r w:rsidRPr="00264A1D">
        <w:rPr>
          <w:rFonts w:ascii="GHEA Grapalat" w:hAnsi="GHEA Grapalat"/>
          <w:sz w:val="18"/>
          <w:szCs w:val="18"/>
        </w:rPr>
        <w:t>Պետական</w:t>
      </w:r>
      <w:proofErr w:type="spellEnd"/>
      <w:r w:rsidRPr="00264A1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64A1D">
        <w:rPr>
          <w:rFonts w:ascii="GHEA Grapalat" w:hAnsi="GHEA Grapalat"/>
          <w:sz w:val="18"/>
          <w:szCs w:val="18"/>
        </w:rPr>
        <w:t>գույքի</w:t>
      </w:r>
      <w:proofErr w:type="spellEnd"/>
      <w:r w:rsidRPr="00264A1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64A1D">
        <w:rPr>
          <w:rFonts w:ascii="GHEA Grapalat" w:hAnsi="GHEA Grapalat"/>
          <w:sz w:val="18"/>
          <w:szCs w:val="18"/>
        </w:rPr>
        <w:t>մասնավորեցման</w:t>
      </w:r>
      <w:proofErr w:type="spellEnd"/>
      <w:r w:rsidRPr="00264A1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64A1D">
        <w:rPr>
          <w:rFonts w:ascii="GHEA Grapalat" w:hAnsi="GHEA Grapalat"/>
          <w:sz w:val="18"/>
          <w:szCs w:val="18"/>
        </w:rPr>
        <w:t>մասին</w:t>
      </w:r>
      <w:proofErr w:type="spellEnd"/>
      <w:r w:rsidRPr="00264A1D">
        <w:rPr>
          <w:rFonts w:ascii="GHEA Grapalat" w:hAnsi="GHEA Grapalat"/>
          <w:sz w:val="18"/>
          <w:szCs w:val="18"/>
        </w:rPr>
        <w:t xml:space="preserve">» ՀՀ </w:t>
      </w:r>
      <w:proofErr w:type="spellStart"/>
      <w:r w:rsidRPr="00264A1D">
        <w:rPr>
          <w:rFonts w:ascii="GHEA Grapalat" w:hAnsi="GHEA Grapalat"/>
          <w:sz w:val="18"/>
          <w:szCs w:val="18"/>
        </w:rPr>
        <w:t>օրենք</w:t>
      </w:r>
      <w:proofErr w:type="spellEnd"/>
    </w:p>
  </w:footnote>
  <w:footnote w:id="2">
    <w:p w14:paraId="4E3861C6" w14:textId="77777777" w:rsidR="00042432" w:rsidRPr="00264A1D" w:rsidRDefault="00042432" w:rsidP="00997445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264A1D">
        <w:rPr>
          <w:rStyle w:val="FootnoteReference"/>
          <w:sz w:val="18"/>
          <w:szCs w:val="18"/>
        </w:rPr>
        <w:footnoteRef/>
      </w:r>
      <w:r w:rsidRPr="00264A1D">
        <w:rPr>
          <w:sz w:val="18"/>
          <w:szCs w:val="18"/>
          <w:lang w:val="hy-AM"/>
        </w:rPr>
        <w:t xml:space="preserve"> </w:t>
      </w:r>
      <w:r w:rsidRPr="00264A1D">
        <w:rPr>
          <w:rFonts w:ascii="GHEA Grapalat" w:hAnsi="GHEA Grapalat"/>
          <w:sz w:val="18"/>
          <w:szCs w:val="18"/>
          <w:lang w:val="hy-AM"/>
        </w:rPr>
        <w:t xml:space="preserve">ԱՄՀ (2014), </w:t>
      </w:r>
      <w:r w:rsidRPr="00264A1D">
        <w:rPr>
          <w:rFonts w:ascii="GHEA Grapalat" w:hAnsi="GHEA Grapalat"/>
          <w:iCs/>
          <w:sz w:val="18"/>
          <w:szCs w:val="18"/>
          <w:lang w:val="hy-AM"/>
        </w:rPr>
        <w:t>Պետական ֆինանսների վիճակագրության ուղեցույց</w:t>
      </w:r>
      <w:r w:rsidRPr="00264A1D">
        <w:rPr>
          <w:sz w:val="18"/>
          <w:szCs w:val="18"/>
          <w:lang w:val="hy-AM"/>
        </w:rPr>
        <w:t xml:space="preserve">. </w:t>
      </w:r>
      <w:r w:rsidR="006B2B19">
        <w:fldChar w:fldCharType="begin"/>
      </w:r>
      <w:r w:rsidR="006B2B19" w:rsidRPr="001703E3">
        <w:rPr>
          <w:lang w:val="hy-AM"/>
        </w:rPr>
        <w:instrText xml:space="preserve"> HYPERLINK "https://www.imf.org/external/np/sta/gfsm/" </w:instrText>
      </w:r>
      <w:r w:rsidR="006B2B19">
        <w:fldChar w:fldCharType="separate"/>
      </w:r>
      <w:r w:rsidRPr="00264A1D">
        <w:rPr>
          <w:rStyle w:val="Hyperlink"/>
          <w:sz w:val="18"/>
          <w:szCs w:val="18"/>
          <w:lang w:val="hy-AM"/>
        </w:rPr>
        <w:t>https://www.imf.org/external/np/sta/gfsm/</w:t>
      </w:r>
      <w:r w:rsidR="006B2B19">
        <w:rPr>
          <w:rStyle w:val="Hyperlink"/>
          <w:sz w:val="18"/>
          <w:szCs w:val="18"/>
          <w:lang w:val="hy-AM"/>
        </w:rPr>
        <w:fldChar w:fldCharType="end"/>
      </w:r>
    </w:p>
  </w:footnote>
  <w:footnote w:id="3">
    <w:p w14:paraId="640BC803" w14:textId="77777777" w:rsidR="00042432" w:rsidRPr="00264A1D" w:rsidRDefault="00042432" w:rsidP="00997445">
      <w:pPr>
        <w:pStyle w:val="FootnoteText"/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</w:pPr>
      <w:r w:rsidRPr="00264A1D">
        <w:rPr>
          <w:rStyle w:val="FootnoteReference"/>
          <w:rFonts w:ascii="GHEA Grapalat" w:hAnsi="GHEA Grapalat"/>
          <w:sz w:val="18"/>
          <w:szCs w:val="18"/>
        </w:rPr>
        <w:footnoteRef/>
      </w:r>
      <w:r w:rsidRPr="00264A1D">
        <w:rPr>
          <w:rFonts w:ascii="GHEA Grapalat" w:hAnsi="GHEA Grapalat"/>
          <w:sz w:val="18"/>
          <w:szCs w:val="18"/>
          <w:lang w:val="hy-AM"/>
        </w:rPr>
        <w:t xml:space="preserve"> *Ներառում է ս</w:t>
      </w:r>
      <w:r w:rsidRPr="00264A1D"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  <w:t>ոցիալական ապահովագրության ֆոնդեր։</w:t>
      </w:r>
    </w:p>
    <w:p w14:paraId="33050830" w14:textId="2925FDAF" w:rsidR="00042432" w:rsidRPr="00264A1D" w:rsidRDefault="00042432" w:rsidP="00997445">
      <w:pPr>
        <w:pStyle w:val="FootnoteText"/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</w:pPr>
      <w:r w:rsidRPr="00264A1D"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  <w:t>**Որպես այլընտրանք, սոցիալական ապահովության ֆոնդերը կարող են միավորվել առանձին ենթաոլորտի մեջ, ինչպես ցույց է տրված կետագծերով վանդակում</w:t>
      </w:r>
      <w:r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  <w:t xml:space="preserve"> </w:t>
      </w:r>
      <w:r w:rsidRPr="006811F2"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  <w:t>(կետագծերով վանդակ գծապատկերում չի երևում</w:t>
      </w:r>
      <w:r w:rsidRPr="00CD5106"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  <w:t>)</w:t>
      </w:r>
      <w:r w:rsidRPr="006811F2"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  <w:t>:</w:t>
      </w:r>
    </w:p>
    <w:p w14:paraId="6317DEE5" w14:textId="77777777" w:rsidR="00042432" w:rsidRPr="00264A1D" w:rsidRDefault="00042432" w:rsidP="00997445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264A1D">
        <w:rPr>
          <w:rFonts w:ascii="GHEA Grapalat" w:hAnsi="GHEA Grapalat"/>
          <w:color w:val="000000"/>
          <w:sz w:val="18"/>
          <w:szCs w:val="18"/>
          <w:shd w:val="clear" w:color="auto" w:fill="FBFBFB"/>
          <w:lang w:val="hy-AM"/>
        </w:rPr>
        <w:t>***Բյուջետային միավորները, արտաբյուջետային միավորները և սոցիալական ապահովության ֆոնդերը կարող են գոյություն ունենալ նաև պետական և տեղական ինքնակառավարման մարմինների ներքո:</w:t>
      </w:r>
    </w:p>
  </w:footnote>
  <w:footnote w:id="4">
    <w:p w14:paraId="63660088" w14:textId="77777777" w:rsidR="00042432" w:rsidRPr="00264A1D" w:rsidRDefault="00042432" w:rsidP="00D96D9D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64A1D">
        <w:rPr>
          <w:rStyle w:val="FootnoteReference"/>
          <w:rFonts w:ascii="GHEA Grapalat" w:hAnsi="GHEA Grapalat"/>
          <w:sz w:val="18"/>
          <w:szCs w:val="18"/>
        </w:rPr>
        <w:footnoteRef/>
      </w:r>
      <w:r w:rsidRPr="00264A1D">
        <w:rPr>
          <w:rFonts w:ascii="GHEA Grapalat" w:hAnsi="GHEA Grapalat"/>
          <w:sz w:val="18"/>
          <w:szCs w:val="18"/>
          <w:lang w:val="hy-AM"/>
        </w:rPr>
        <w:t xml:space="preserve"> Նարնջագույն գույնով նշված են առաջնային նպատակները։</w:t>
      </w:r>
    </w:p>
  </w:footnote>
  <w:footnote w:id="5">
    <w:p w14:paraId="1DDB53FE" w14:textId="0B0C836A" w:rsidR="00042432" w:rsidRPr="00264A1D" w:rsidRDefault="00042432">
      <w:pPr>
        <w:pStyle w:val="FootnoteText"/>
        <w:rPr>
          <w:rFonts w:ascii="Arial" w:hAnsi="Arial"/>
          <w:sz w:val="18"/>
          <w:szCs w:val="18"/>
          <w:lang w:val="hy-AM"/>
        </w:rPr>
      </w:pPr>
      <w:r w:rsidRPr="00264A1D">
        <w:rPr>
          <w:rStyle w:val="FootnoteReference"/>
          <w:sz w:val="18"/>
          <w:szCs w:val="18"/>
        </w:rPr>
        <w:footnoteRef/>
      </w:r>
      <w:r w:rsidRPr="00264A1D">
        <w:rPr>
          <w:sz w:val="18"/>
          <w:szCs w:val="18"/>
          <w:lang w:val="hy-AM"/>
        </w:rPr>
        <w:t xml:space="preserve"> </w:t>
      </w:r>
      <w:r w:rsidRPr="00264A1D">
        <w:rPr>
          <w:rFonts w:ascii="GHEA Grapalat" w:hAnsi="GHEA Grapalat" w:cs="Arial"/>
          <w:color w:val="000000"/>
          <w:sz w:val="18"/>
          <w:szCs w:val="18"/>
          <w:lang w:val="hy-AM"/>
        </w:rPr>
        <w:t xml:space="preserve">Քվազիֆիսկալ գործունեությունը սահմանվում է՝ որպես ՊՄԸ կողմից վաճառք այնպիսի գներով, որոնք նմանատիպ ապրանքների/ծառայությունների մատակարարման համար </w:t>
      </w:r>
      <w:r w:rsidRPr="00775A1E">
        <w:rPr>
          <w:rFonts w:ascii="GHEA Grapalat" w:hAnsi="GHEA Grapalat" w:cs="Arial"/>
          <w:color w:val="000000"/>
          <w:sz w:val="18"/>
          <w:szCs w:val="18"/>
          <w:lang w:val="hy-AM"/>
        </w:rPr>
        <w:t>շուկայական կամ փաստացի գներից ցածր</w:t>
      </w:r>
      <w:r w:rsidRPr="00264A1D">
        <w:rPr>
          <w:rFonts w:ascii="GHEA Grapalat" w:hAnsi="GHEA Grapalat" w:cs="Arial"/>
          <w:color w:val="000000"/>
          <w:sz w:val="18"/>
          <w:szCs w:val="18"/>
          <w:lang w:val="hy-AM"/>
        </w:rPr>
        <w:t xml:space="preserve"> են: Նման գործունեությունը հիմնականում ուղղված է հասարակական և քաղաքական նպատակների իրագործմանը։</w:t>
      </w:r>
    </w:p>
  </w:footnote>
  <w:footnote w:id="6">
    <w:p w14:paraId="1B02590D" w14:textId="77777777" w:rsidR="00042432" w:rsidRPr="00264A1D" w:rsidRDefault="00042432" w:rsidP="004C1A83">
      <w:pPr>
        <w:rPr>
          <w:rFonts w:ascii="GHEA Grapalat" w:hAnsi="GHEA Grapalat"/>
          <w:sz w:val="18"/>
          <w:szCs w:val="18"/>
          <w:lang w:val="hy-AM"/>
        </w:rPr>
      </w:pPr>
    </w:p>
  </w:footnote>
  <w:footnote w:id="7">
    <w:p w14:paraId="07BB496F" w14:textId="2A304801" w:rsidR="00042432" w:rsidRPr="00264A1D" w:rsidRDefault="00042432" w:rsidP="00EB6075">
      <w:pPr>
        <w:pStyle w:val="FootnoteText"/>
        <w:jc w:val="both"/>
        <w:rPr>
          <w:rFonts w:ascii="Arial" w:hAnsi="Arial"/>
          <w:sz w:val="18"/>
          <w:szCs w:val="18"/>
          <w:lang w:val="hy-AM"/>
        </w:rPr>
      </w:pPr>
      <w:r w:rsidRPr="00264A1D">
        <w:rPr>
          <w:rStyle w:val="FootnoteReference"/>
          <w:sz w:val="18"/>
          <w:szCs w:val="18"/>
        </w:rPr>
        <w:footnoteRef/>
      </w:r>
      <w:r w:rsidRPr="00264A1D">
        <w:rPr>
          <w:sz w:val="18"/>
          <w:szCs w:val="18"/>
          <w:lang w:val="hy-AM"/>
        </w:rPr>
        <w:t xml:space="preserve"> </w:t>
      </w:r>
      <w:r w:rsidRPr="00264A1D">
        <w:rPr>
          <w:rFonts w:ascii="GHEA Grapalat" w:hAnsi="GHEA Grapalat"/>
          <w:sz w:val="18"/>
          <w:szCs w:val="18"/>
          <w:lang w:val="hy-AM"/>
        </w:rPr>
        <w:t xml:space="preserve">35 կազմակերպություն համարվում են համայնքային և գտնվում են Երևանի քաղաքապետարանի կառավարման ներքո, սակայն ֆիսկալ ռիսկերի կառավարման տեսանկյունից պետության համար ունեն կարևոր նշանակություն։ «Կարեն Դեմիրճյանի անվան Երևանի մետրոպոլիտեն» ՓԲԸ-ն </w:t>
      </w:r>
      <w:r w:rsidRPr="001A3C48">
        <w:rPr>
          <w:rFonts w:ascii="GHEA Grapalat" w:hAnsi="GHEA Grapalat"/>
          <w:sz w:val="18"/>
          <w:szCs w:val="18"/>
          <w:lang w:val="hy-AM"/>
        </w:rPr>
        <w:t>պետական մասնակցությամբ ընկերություն է, հետևաբար</w:t>
      </w:r>
      <w:r>
        <w:rPr>
          <w:rFonts w:ascii="GHEA Grapalat" w:hAnsi="GHEA Grapalat"/>
          <w:sz w:val="18"/>
          <w:szCs w:val="18"/>
          <w:lang w:val="hy-AM"/>
        </w:rPr>
        <w:t xml:space="preserve"> համարվում է </w:t>
      </w:r>
      <w:r w:rsidRPr="00264A1D">
        <w:rPr>
          <w:rFonts w:ascii="GHEA Grapalat" w:hAnsi="GHEA Grapalat"/>
          <w:sz w:val="18"/>
          <w:szCs w:val="18"/>
          <w:lang w:val="hy-AM"/>
        </w:rPr>
        <w:t>Կառավարությանը</w:t>
      </w:r>
      <w:r w:rsidRPr="00264A1D" w:rsidDel="002F792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64A1D">
        <w:rPr>
          <w:rFonts w:ascii="GHEA Grapalat" w:hAnsi="GHEA Grapalat"/>
          <w:sz w:val="18"/>
          <w:szCs w:val="18"/>
          <w:lang w:val="hy-AM"/>
        </w:rPr>
        <w:t xml:space="preserve">շահութաբաժին </w:t>
      </w:r>
      <w:r>
        <w:rPr>
          <w:rFonts w:ascii="GHEA Grapalat" w:hAnsi="GHEA Grapalat"/>
          <w:sz w:val="18"/>
          <w:szCs w:val="18"/>
          <w:lang w:val="hy-AM"/>
        </w:rPr>
        <w:t>վճարող։</w:t>
      </w:r>
    </w:p>
  </w:footnote>
  <w:footnote w:id="8">
    <w:p w14:paraId="77439AE8" w14:textId="77777777" w:rsidR="00042432" w:rsidRPr="00264A1D" w:rsidRDefault="00042432" w:rsidP="004C1A83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64A1D">
        <w:rPr>
          <w:rStyle w:val="FootnoteReference"/>
          <w:rFonts w:ascii="GHEA Grapalat" w:hAnsi="GHEA Grapalat"/>
          <w:sz w:val="18"/>
          <w:szCs w:val="18"/>
        </w:rPr>
        <w:footnoteRef/>
      </w:r>
      <w:r w:rsidRPr="00264A1D">
        <w:rPr>
          <w:rFonts w:ascii="GHEA Grapalat" w:hAnsi="GHEA Grapalat"/>
          <w:sz w:val="18"/>
          <w:szCs w:val="18"/>
          <w:lang w:val="hy-AM"/>
        </w:rPr>
        <w:t xml:space="preserve"> Գծապատկեր-ը ներառում է նաև այն ընկերությունները, որտեղ պետության մասնաբաժինը 50%-ից ցածր է։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40D2" w14:textId="77777777" w:rsidR="00042432" w:rsidRPr="00C46CEE" w:rsidRDefault="00042432" w:rsidP="00112E70">
    <w:pPr>
      <w:pStyle w:val="Header"/>
      <w:jc w:val="right"/>
      <w:rPr>
        <w:rFonts w:ascii="GHEA Grapalat" w:hAnsi="GHEA Grapalat"/>
        <w:color w:val="0F4761" w:themeColor="accent1" w:themeShade="BF"/>
        <w:lang w:val="hy-AM"/>
      </w:rPr>
    </w:pPr>
    <w:r w:rsidRPr="00C46CEE">
      <w:rPr>
        <w:rFonts w:ascii="GHEA Grapalat" w:hAnsi="GHEA Grapalat"/>
        <w:color w:val="0F4761" w:themeColor="accent1" w:themeShade="BF"/>
        <w:lang w:val="hy-AM"/>
      </w:rPr>
      <w:t>ՀԱՅԵՑԱԿԱՐԳԱՅԻՆ ՄՈՏԵՑՈՒՄՆԵՐ</w:t>
    </w:r>
  </w:p>
  <w:p w14:paraId="70E804B5" w14:textId="77777777" w:rsidR="00042432" w:rsidRPr="00112E70" w:rsidRDefault="00042432" w:rsidP="00112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25F"/>
    <w:multiLevelType w:val="hybridMultilevel"/>
    <w:tmpl w:val="A150F1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6633"/>
    <w:multiLevelType w:val="hybridMultilevel"/>
    <w:tmpl w:val="11A8BF0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82BE9"/>
    <w:multiLevelType w:val="hybridMultilevel"/>
    <w:tmpl w:val="6C92A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6232"/>
    <w:multiLevelType w:val="hybridMultilevel"/>
    <w:tmpl w:val="4DEA9D68"/>
    <w:lvl w:ilvl="0" w:tplc="BAEC7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9FCF1F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A9"/>
    <w:multiLevelType w:val="hybridMultilevel"/>
    <w:tmpl w:val="CFCAEED4"/>
    <w:lvl w:ilvl="0" w:tplc="FFFFFFFF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4092D"/>
    <w:multiLevelType w:val="hybridMultilevel"/>
    <w:tmpl w:val="2F7C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4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E59E4"/>
    <w:multiLevelType w:val="hybridMultilevel"/>
    <w:tmpl w:val="8BCEE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0845"/>
    <w:multiLevelType w:val="hybridMultilevel"/>
    <w:tmpl w:val="D99CDAEA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19A6"/>
    <w:multiLevelType w:val="hybridMultilevel"/>
    <w:tmpl w:val="36B0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30EE"/>
    <w:multiLevelType w:val="hybridMultilevel"/>
    <w:tmpl w:val="AC28175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C308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DB6C41"/>
    <w:multiLevelType w:val="hybridMultilevel"/>
    <w:tmpl w:val="6F4E8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53000"/>
    <w:multiLevelType w:val="hybridMultilevel"/>
    <w:tmpl w:val="5F42F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61BEE"/>
    <w:multiLevelType w:val="hybridMultilevel"/>
    <w:tmpl w:val="84C88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0D24"/>
    <w:multiLevelType w:val="hybridMultilevel"/>
    <w:tmpl w:val="976229BA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5BEE"/>
    <w:multiLevelType w:val="hybridMultilevel"/>
    <w:tmpl w:val="2314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5A84"/>
    <w:multiLevelType w:val="hybridMultilevel"/>
    <w:tmpl w:val="6B760D54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90E09"/>
    <w:multiLevelType w:val="hybridMultilevel"/>
    <w:tmpl w:val="3CFCE4D8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72AF7"/>
    <w:multiLevelType w:val="hybridMultilevel"/>
    <w:tmpl w:val="157EE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D0958"/>
    <w:multiLevelType w:val="hybridMultilevel"/>
    <w:tmpl w:val="7174F992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5EB9"/>
    <w:multiLevelType w:val="hybridMultilevel"/>
    <w:tmpl w:val="57D2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9198E"/>
    <w:multiLevelType w:val="hybridMultilevel"/>
    <w:tmpl w:val="E70E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B0B79"/>
    <w:multiLevelType w:val="hybridMultilevel"/>
    <w:tmpl w:val="C0C85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5EE4"/>
    <w:multiLevelType w:val="hybridMultilevel"/>
    <w:tmpl w:val="37FE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8662F"/>
    <w:multiLevelType w:val="hybridMultilevel"/>
    <w:tmpl w:val="F730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A27A6"/>
    <w:multiLevelType w:val="hybridMultilevel"/>
    <w:tmpl w:val="AF84F51C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6607"/>
    <w:multiLevelType w:val="hybridMultilevel"/>
    <w:tmpl w:val="F1C6E390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004EC"/>
    <w:multiLevelType w:val="hybridMultilevel"/>
    <w:tmpl w:val="0F30F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FA373D"/>
    <w:multiLevelType w:val="hybridMultilevel"/>
    <w:tmpl w:val="B54CB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A4C59"/>
    <w:multiLevelType w:val="hybridMultilevel"/>
    <w:tmpl w:val="5FB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61E95"/>
    <w:multiLevelType w:val="hybridMultilevel"/>
    <w:tmpl w:val="07F6E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A7673"/>
    <w:multiLevelType w:val="hybridMultilevel"/>
    <w:tmpl w:val="164E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401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66FBE"/>
    <w:multiLevelType w:val="hybridMultilevel"/>
    <w:tmpl w:val="BA806750"/>
    <w:lvl w:ilvl="0" w:tplc="3D06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9"/>
  </w:num>
  <w:num w:numId="5">
    <w:abstractNumId w:val="30"/>
  </w:num>
  <w:num w:numId="6">
    <w:abstractNumId w:val="5"/>
  </w:num>
  <w:num w:numId="7">
    <w:abstractNumId w:val="25"/>
  </w:num>
  <w:num w:numId="8">
    <w:abstractNumId w:val="33"/>
  </w:num>
  <w:num w:numId="9">
    <w:abstractNumId w:val="0"/>
  </w:num>
  <w:num w:numId="10">
    <w:abstractNumId w:val="18"/>
  </w:num>
  <w:num w:numId="11">
    <w:abstractNumId w:val="17"/>
  </w:num>
  <w:num w:numId="12">
    <w:abstractNumId w:val="15"/>
  </w:num>
  <w:num w:numId="13">
    <w:abstractNumId w:val="26"/>
  </w:num>
  <w:num w:numId="14">
    <w:abstractNumId w:val="31"/>
  </w:num>
  <w:num w:numId="15">
    <w:abstractNumId w:val="22"/>
  </w:num>
  <w:num w:numId="16">
    <w:abstractNumId w:val="6"/>
  </w:num>
  <w:num w:numId="17">
    <w:abstractNumId w:val="21"/>
  </w:num>
  <w:num w:numId="18">
    <w:abstractNumId w:val="2"/>
  </w:num>
  <w:num w:numId="19">
    <w:abstractNumId w:val="29"/>
  </w:num>
  <w:num w:numId="20">
    <w:abstractNumId w:val="7"/>
  </w:num>
  <w:num w:numId="21">
    <w:abstractNumId w:val="13"/>
  </w:num>
  <w:num w:numId="22">
    <w:abstractNumId w:val="28"/>
  </w:num>
  <w:num w:numId="23">
    <w:abstractNumId w:val="16"/>
  </w:num>
  <w:num w:numId="24">
    <w:abstractNumId w:val="32"/>
  </w:num>
  <w:num w:numId="25">
    <w:abstractNumId w:val="14"/>
  </w:num>
  <w:num w:numId="26">
    <w:abstractNumId w:val="23"/>
  </w:num>
  <w:num w:numId="27">
    <w:abstractNumId w:val="19"/>
  </w:num>
  <w:num w:numId="28">
    <w:abstractNumId w:val="8"/>
  </w:num>
  <w:num w:numId="29">
    <w:abstractNumId w:val="10"/>
  </w:num>
  <w:num w:numId="30">
    <w:abstractNumId w:val="1"/>
  </w:num>
  <w:num w:numId="31">
    <w:abstractNumId w:val="20"/>
  </w:num>
  <w:num w:numId="32">
    <w:abstractNumId w:val="24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F"/>
    <w:rsid w:val="00024BA4"/>
    <w:rsid w:val="00024EEF"/>
    <w:rsid w:val="00026253"/>
    <w:rsid w:val="00030415"/>
    <w:rsid w:val="000354C4"/>
    <w:rsid w:val="00040BAA"/>
    <w:rsid w:val="00042432"/>
    <w:rsid w:val="00045B8C"/>
    <w:rsid w:val="0005088B"/>
    <w:rsid w:val="00051099"/>
    <w:rsid w:val="00056301"/>
    <w:rsid w:val="0007371D"/>
    <w:rsid w:val="00075E31"/>
    <w:rsid w:val="00085107"/>
    <w:rsid w:val="00097355"/>
    <w:rsid w:val="000A2455"/>
    <w:rsid w:val="000D675C"/>
    <w:rsid w:val="000D76C5"/>
    <w:rsid w:val="000E2177"/>
    <w:rsid w:val="000E5552"/>
    <w:rsid w:val="000E65C1"/>
    <w:rsid w:val="000F1DB5"/>
    <w:rsid w:val="000F1EE4"/>
    <w:rsid w:val="000F3FEF"/>
    <w:rsid w:val="000F4A08"/>
    <w:rsid w:val="00101530"/>
    <w:rsid w:val="0010280D"/>
    <w:rsid w:val="00104619"/>
    <w:rsid w:val="00107409"/>
    <w:rsid w:val="00112E70"/>
    <w:rsid w:val="001140C7"/>
    <w:rsid w:val="00122DF8"/>
    <w:rsid w:val="00137BC0"/>
    <w:rsid w:val="001407AB"/>
    <w:rsid w:val="00140D1B"/>
    <w:rsid w:val="00157BCA"/>
    <w:rsid w:val="00157BE3"/>
    <w:rsid w:val="0016581B"/>
    <w:rsid w:val="00166016"/>
    <w:rsid w:val="001703E3"/>
    <w:rsid w:val="0017461D"/>
    <w:rsid w:val="00177024"/>
    <w:rsid w:val="001A046E"/>
    <w:rsid w:val="001A3C48"/>
    <w:rsid w:val="001A6D17"/>
    <w:rsid w:val="001A7C67"/>
    <w:rsid w:val="001B38E0"/>
    <w:rsid w:val="001B540E"/>
    <w:rsid w:val="001B5ADD"/>
    <w:rsid w:val="001C1BB0"/>
    <w:rsid w:val="001D01AF"/>
    <w:rsid w:val="001D4ED5"/>
    <w:rsid w:val="001D5A4A"/>
    <w:rsid w:val="001D67DF"/>
    <w:rsid w:val="001E67C0"/>
    <w:rsid w:val="001E7BA6"/>
    <w:rsid w:val="00202A6B"/>
    <w:rsid w:val="00202AC7"/>
    <w:rsid w:val="00203968"/>
    <w:rsid w:val="002100CB"/>
    <w:rsid w:val="00213238"/>
    <w:rsid w:val="002160E4"/>
    <w:rsid w:val="00220EAC"/>
    <w:rsid w:val="00223BE5"/>
    <w:rsid w:val="00225498"/>
    <w:rsid w:val="00232F61"/>
    <w:rsid w:val="0023673F"/>
    <w:rsid w:val="002405FE"/>
    <w:rsid w:val="00246923"/>
    <w:rsid w:val="002640AD"/>
    <w:rsid w:val="00264A1D"/>
    <w:rsid w:val="00270F77"/>
    <w:rsid w:val="0027730D"/>
    <w:rsid w:val="00283963"/>
    <w:rsid w:val="00287A79"/>
    <w:rsid w:val="00291F85"/>
    <w:rsid w:val="002A1FD3"/>
    <w:rsid w:val="002A2BB2"/>
    <w:rsid w:val="002A6711"/>
    <w:rsid w:val="002B1D52"/>
    <w:rsid w:val="002B41E0"/>
    <w:rsid w:val="002B528C"/>
    <w:rsid w:val="002C14EC"/>
    <w:rsid w:val="002C1B2F"/>
    <w:rsid w:val="002C230C"/>
    <w:rsid w:val="002C2B16"/>
    <w:rsid w:val="002D0DD9"/>
    <w:rsid w:val="002D6B36"/>
    <w:rsid w:val="002E132D"/>
    <w:rsid w:val="002E64B8"/>
    <w:rsid w:val="002E7BDC"/>
    <w:rsid w:val="002F3878"/>
    <w:rsid w:val="002F57C9"/>
    <w:rsid w:val="002F792F"/>
    <w:rsid w:val="0031563F"/>
    <w:rsid w:val="0032007C"/>
    <w:rsid w:val="00323D79"/>
    <w:rsid w:val="00324322"/>
    <w:rsid w:val="003310C7"/>
    <w:rsid w:val="003313AE"/>
    <w:rsid w:val="00340187"/>
    <w:rsid w:val="0034121D"/>
    <w:rsid w:val="003413F6"/>
    <w:rsid w:val="00351140"/>
    <w:rsid w:val="00351842"/>
    <w:rsid w:val="00356643"/>
    <w:rsid w:val="003723CD"/>
    <w:rsid w:val="003736EA"/>
    <w:rsid w:val="00373F04"/>
    <w:rsid w:val="00376756"/>
    <w:rsid w:val="00381E58"/>
    <w:rsid w:val="00382371"/>
    <w:rsid w:val="003905CA"/>
    <w:rsid w:val="003973D3"/>
    <w:rsid w:val="003979F3"/>
    <w:rsid w:val="003A3B68"/>
    <w:rsid w:val="003A636D"/>
    <w:rsid w:val="003B4CE6"/>
    <w:rsid w:val="003C53B3"/>
    <w:rsid w:val="003D43A0"/>
    <w:rsid w:val="003D45A5"/>
    <w:rsid w:val="003D6364"/>
    <w:rsid w:val="003E01A8"/>
    <w:rsid w:val="003E1382"/>
    <w:rsid w:val="003E323A"/>
    <w:rsid w:val="003E425A"/>
    <w:rsid w:val="003E799C"/>
    <w:rsid w:val="003F71C3"/>
    <w:rsid w:val="004017BD"/>
    <w:rsid w:val="004037F3"/>
    <w:rsid w:val="0040780C"/>
    <w:rsid w:val="00412E61"/>
    <w:rsid w:val="004206DC"/>
    <w:rsid w:val="0044017B"/>
    <w:rsid w:val="00440A02"/>
    <w:rsid w:val="00445ACC"/>
    <w:rsid w:val="00445B50"/>
    <w:rsid w:val="00446F78"/>
    <w:rsid w:val="004478D5"/>
    <w:rsid w:val="00451030"/>
    <w:rsid w:val="00465C3B"/>
    <w:rsid w:val="00466383"/>
    <w:rsid w:val="00466BF7"/>
    <w:rsid w:val="00475262"/>
    <w:rsid w:val="0048491B"/>
    <w:rsid w:val="004879EF"/>
    <w:rsid w:val="00492172"/>
    <w:rsid w:val="00497BC8"/>
    <w:rsid w:val="004B48FA"/>
    <w:rsid w:val="004C1A83"/>
    <w:rsid w:val="004C70E3"/>
    <w:rsid w:val="004D31C4"/>
    <w:rsid w:val="004D3D2B"/>
    <w:rsid w:val="004D70F0"/>
    <w:rsid w:val="004E38BA"/>
    <w:rsid w:val="004F4517"/>
    <w:rsid w:val="004F60ED"/>
    <w:rsid w:val="004F6FE0"/>
    <w:rsid w:val="00502C43"/>
    <w:rsid w:val="00503296"/>
    <w:rsid w:val="00505A18"/>
    <w:rsid w:val="0051054E"/>
    <w:rsid w:val="00513BBC"/>
    <w:rsid w:val="005170B3"/>
    <w:rsid w:val="00517833"/>
    <w:rsid w:val="00527E0A"/>
    <w:rsid w:val="00543132"/>
    <w:rsid w:val="005453C1"/>
    <w:rsid w:val="00547C66"/>
    <w:rsid w:val="005570D6"/>
    <w:rsid w:val="00557ABA"/>
    <w:rsid w:val="00571297"/>
    <w:rsid w:val="00575A90"/>
    <w:rsid w:val="00575AD4"/>
    <w:rsid w:val="00587538"/>
    <w:rsid w:val="00596DE9"/>
    <w:rsid w:val="005A6623"/>
    <w:rsid w:val="005B1754"/>
    <w:rsid w:val="005C0055"/>
    <w:rsid w:val="005C07FC"/>
    <w:rsid w:val="005C27C8"/>
    <w:rsid w:val="005C45E8"/>
    <w:rsid w:val="005D2AF3"/>
    <w:rsid w:val="005D6510"/>
    <w:rsid w:val="005D7D12"/>
    <w:rsid w:val="005E7121"/>
    <w:rsid w:val="005F1B3C"/>
    <w:rsid w:val="005F3DC6"/>
    <w:rsid w:val="00602BF3"/>
    <w:rsid w:val="00605DC2"/>
    <w:rsid w:val="006118B5"/>
    <w:rsid w:val="00614AFB"/>
    <w:rsid w:val="00634374"/>
    <w:rsid w:val="0063510C"/>
    <w:rsid w:val="006368D6"/>
    <w:rsid w:val="00641106"/>
    <w:rsid w:val="0064361A"/>
    <w:rsid w:val="00644385"/>
    <w:rsid w:val="00650FC0"/>
    <w:rsid w:val="00651CA4"/>
    <w:rsid w:val="00652B0D"/>
    <w:rsid w:val="00654C77"/>
    <w:rsid w:val="006811F2"/>
    <w:rsid w:val="00690000"/>
    <w:rsid w:val="006940B3"/>
    <w:rsid w:val="00695251"/>
    <w:rsid w:val="00695AA5"/>
    <w:rsid w:val="006A18D6"/>
    <w:rsid w:val="006A6862"/>
    <w:rsid w:val="006B2B19"/>
    <w:rsid w:val="006B4CA0"/>
    <w:rsid w:val="006B6411"/>
    <w:rsid w:val="006C542C"/>
    <w:rsid w:val="006C67EF"/>
    <w:rsid w:val="006C74E0"/>
    <w:rsid w:val="006C79AF"/>
    <w:rsid w:val="006D549F"/>
    <w:rsid w:val="006E1478"/>
    <w:rsid w:val="006E201D"/>
    <w:rsid w:val="006F6662"/>
    <w:rsid w:val="007009B9"/>
    <w:rsid w:val="007070E9"/>
    <w:rsid w:val="00721800"/>
    <w:rsid w:val="0072338B"/>
    <w:rsid w:val="00723CC2"/>
    <w:rsid w:val="0073347E"/>
    <w:rsid w:val="00743099"/>
    <w:rsid w:val="00744A45"/>
    <w:rsid w:val="00745F7E"/>
    <w:rsid w:val="007526AF"/>
    <w:rsid w:val="007635D6"/>
    <w:rsid w:val="00765B64"/>
    <w:rsid w:val="00775A1E"/>
    <w:rsid w:val="00783965"/>
    <w:rsid w:val="0079229C"/>
    <w:rsid w:val="00794F1D"/>
    <w:rsid w:val="0079523E"/>
    <w:rsid w:val="007968A9"/>
    <w:rsid w:val="007B3FE7"/>
    <w:rsid w:val="007B44F4"/>
    <w:rsid w:val="007B4E93"/>
    <w:rsid w:val="007D05FA"/>
    <w:rsid w:val="007D2DE5"/>
    <w:rsid w:val="007D7E61"/>
    <w:rsid w:val="007E2892"/>
    <w:rsid w:val="007E2ED2"/>
    <w:rsid w:val="007E481E"/>
    <w:rsid w:val="007E5BCF"/>
    <w:rsid w:val="007F1E86"/>
    <w:rsid w:val="00803912"/>
    <w:rsid w:val="00805732"/>
    <w:rsid w:val="008058D0"/>
    <w:rsid w:val="00805B1D"/>
    <w:rsid w:val="00807F2A"/>
    <w:rsid w:val="00810CA0"/>
    <w:rsid w:val="00813AEB"/>
    <w:rsid w:val="00821498"/>
    <w:rsid w:val="00823683"/>
    <w:rsid w:val="008371B5"/>
    <w:rsid w:val="008407D8"/>
    <w:rsid w:val="00846DAA"/>
    <w:rsid w:val="00846DF7"/>
    <w:rsid w:val="00852D8E"/>
    <w:rsid w:val="008610D9"/>
    <w:rsid w:val="008624A0"/>
    <w:rsid w:val="00863C42"/>
    <w:rsid w:val="0087054D"/>
    <w:rsid w:val="00873930"/>
    <w:rsid w:val="008741F7"/>
    <w:rsid w:val="008804E5"/>
    <w:rsid w:val="008807A5"/>
    <w:rsid w:val="00887B82"/>
    <w:rsid w:val="008905B1"/>
    <w:rsid w:val="008A425A"/>
    <w:rsid w:val="008B3B0E"/>
    <w:rsid w:val="008B3EE3"/>
    <w:rsid w:val="008C7FC7"/>
    <w:rsid w:val="008E09C8"/>
    <w:rsid w:val="008F65BE"/>
    <w:rsid w:val="00901311"/>
    <w:rsid w:val="009030FF"/>
    <w:rsid w:val="00904589"/>
    <w:rsid w:val="00906D9D"/>
    <w:rsid w:val="00915B37"/>
    <w:rsid w:val="00922BD5"/>
    <w:rsid w:val="00927972"/>
    <w:rsid w:val="00931F0F"/>
    <w:rsid w:val="00932F81"/>
    <w:rsid w:val="00933532"/>
    <w:rsid w:val="0094221C"/>
    <w:rsid w:val="00951525"/>
    <w:rsid w:val="009532AD"/>
    <w:rsid w:val="009561C6"/>
    <w:rsid w:val="00961396"/>
    <w:rsid w:val="00967200"/>
    <w:rsid w:val="00971D63"/>
    <w:rsid w:val="00972266"/>
    <w:rsid w:val="00983ED6"/>
    <w:rsid w:val="00986309"/>
    <w:rsid w:val="00987311"/>
    <w:rsid w:val="00996DED"/>
    <w:rsid w:val="00997445"/>
    <w:rsid w:val="009C1CBC"/>
    <w:rsid w:val="009C447B"/>
    <w:rsid w:val="009C4B05"/>
    <w:rsid w:val="009D110E"/>
    <w:rsid w:val="009D147D"/>
    <w:rsid w:val="009E3554"/>
    <w:rsid w:val="009E410D"/>
    <w:rsid w:val="009F31FB"/>
    <w:rsid w:val="009F554A"/>
    <w:rsid w:val="00A0120C"/>
    <w:rsid w:val="00A126CC"/>
    <w:rsid w:val="00A36FEB"/>
    <w:rsid w:val="00A4097B"/>
    <w:rsid w:val="00A40B24"/>
    <w:rsid w:val="00A40C6B"/>
    <w:rsid w:val="00A422FA"/>
    <w:rsid w:val="00A54694"/>
    <w:rsid w:val="00A55EF4"/>
    <w:rsid w:val="00A57EF4"/>
    <w:rsid w:val="00A63541"/>
    <w:rsid w:val="00A716DC"/>
    <w:rsid w:val="00A734C9"/>
    <w:rsid w:val="00A73919"/>
    <w:rsid w:val="00A771D0"/>
    <w:rsid w:val="00A773A0"/>
    <w:rsid w:val="00A8278C"/>
    <w:rsid w:val="00A8625B"/>
    <w:rsid w:val="00A87D08"/>
    <w:rsid w:val="00A92ED7"/>
    <w:rsid w:val="00A9711C"/>
    <w:rsid w:val="00A9718F"/>
    <w:rsid w:val="00AA1632"/>
    <w:rsid w:val="00AC55BF"/>
    <w:rsid w:val="00AE0C74"/>
    <w:rsid w:val="00AF56C1"/>
    <w:rsid w:val="00AF71C7"/>
    <w:rsid w:val="00B07011"/>
    <w:rsid w:val="00B12931"/>
    <w:rsid w:val="00B12E1A"/>
    <w:rsid w:val="00B156BF"/>
    <w:rsid w:val="00B22319"/>
    <w:rsid w:val="00B23618"/>
    <w:rsid w:val="00B36291"/>
    <w:rsid w:val="00B6261C"/>
    <w:rsid w:val="00B7181D"/>
    <w:rsid w:val="00B77610"/>
    <w:rsid w:val="00B77A72"/>
    <w:rsid w:val="00B814BA"/>
    <w:rsid w:val="00B81B01"/>
    <w:rsid w:val="00B905D0"/>
    <w:rsid w:val="00B90AD4"/>
    <w:rsid w:val="00B90D75"/>
    <w:rsid w:val="00B95A7E"/>
    <w:rsid w:val="00BA1E25"/>
    <w:rsid w:val="00BA4488"/>
    <w:rsid w:val="00BA4D75"/>
    <w:rsid w:val="00BB56AB"/>
    <w:rsid w:val="00BB6010"/>
    <w:rsid w:val="00BD15DC"/>
    <w:rsid w:val="00BE11AE"/>
    <w:rsid w:val="00BF4BCA"/>
    <w:rsid w:val="00C02F1D"/>
    <w:rsid w:val="00C038D2"/>
    <w:rsid w:val="00C06331"/>
    <w:rsid w:val="00C13C49"/>
    <w:rsid w:val="00C2135B"/>
    <w:rsid w:val="00C2168C"/>
    <w:rsid w:val="00C21CE3"/>
    <w:rsid w:val="00C22607"/>
    <w:rsid w:val="00C32D31"/>
    <w:rsid w:val="00C375ED"/>
    <w:rsid w:val="00C4152C"/>
    <w:rsid w:val="00C44DE1"/>
    <w:rsid w:val="00C45BC8"/>
    <w:rsid w:val="00C5492D"/>
    <w:rsid w:val="00C56B72"/>
    <w:rsid w:val="00C571B3"/>
    <w:rsid w:val="00C7374B"/>
    <w:rsid w:val="00C75CDA"/>
    <w:rsid w:val="00C950C9"/>
    <w:rsid w:val="00CA1075"/>
    <w:rsid w:val="00CA16C9"/>
    <w:rsid w:val="00CB25F6"/>
    <w:rsid w:val="00CB2AAB"/>
    <w:rsid w:val="00CB4CDC"/>
    <w:rsid w:val="00CB695C"/>
    <w:rsid w:val="00CC54C0"/>
    <w:rsid w:val="00CC6736"/>
    <w:rsid w:val="00CD46AE"/>
    <w:rsid w:val="00CD5106"/>
    <w:rsid w:val="00CE6938"/>
    <w:rsid w:val="00CF04D8"/>
    <w:rsid w:val="00CF25E3"/>
    <w:rsid w:val="00D05249"/>
    <w:rsid w:val="00D13500"/>
    <w:rsid w:val="00D15282"/>
    <w:rsid w:val="00D16656"/>
    <w:rsid w:val="00D20546"/>
    <w:rsid w:val="00D253DE"/>
    <w:rsid w:val="00D26C54"/>
    <w:rsid w:val="00D34210"/>
    <w:rsid w:val="00D4453E"/>
    <w:rsid w:val="00D50985"/>
    <w:rsid w:val="00D53FA9"/>
    <w:rsid w:val="00D601F6"/>
    <w:rsid w:val="00D669FA"/>
    <w:rsid w:val="00D66A6D"/>
    <w:rsid w:val="00D721C9"/>
    <w:rsid w:val="00D723C4"/>
    <w:rsid w:val="00D765FC"/>
    <w:rsid w:val="00D9009E"/>
    <w:rsid w:val="00D963DF"/>
    <w:rsid w:val="00D96D9D"/>
    <w:rsid w:val="00DA69C4"/>
    <w:rsid w:val="00DC3BA8"/>
    <w:rsid w:val="00DD2FE0"/>
    <w:rsid w:val="00DE2B9D"/>
    <w:rsid w:val="00DE3AF9"/>
    <w:rsid w:val="00DF19DB"/>
    <w:rsid w:val="00DF7557"/>
    <w:rsid w:val="00DF7960"/>
    <w:rsid w:val="00E0017C"/>
    <w:rsid w:val="00E00DA0"/>
    <w:rsid w:val="00E0167A"/>
    <w:rsid w:val="00E059CA"/>
    <w:rsid w:val="00E07B0E"/>
    <w:rsid w:val="00E12581"/>
    <w:rsid w:val="00E14D6F"/>
    <w:rsid w:val="00E15C5A"/>
    <w:rsid w:val="00E229FC"/>
    <w:rsid w:val="00E264A6"/>
    <w:rsid w:val="00E26B64"/>
    <w:rsid w:val="00E32971"/>
    <w:rsid w:val="00E32A5C"/>
    <w:rsid w:val="00E3588A"/>
    <w:rsid w:val="00E414AE"/>
    <w:rsid w:val="00E52A88"/>
    <w:rsid w:val="00E55173"/>
    <w:rsid w:val="00E579EC"/>
    <w:rsid w:val="00E62261"/>
    <w:rsid w:val="00E7143D"/>
    <w:rsid w:val="00E81783"/>
    <w:rsid w:val="00EA4C75"/>
    <w:rsid w:val="00EB0E97"/>
    <w:rsid w:val="00EB6075"/>
    <w:rsid w:val="00EC0C63"/>
    <w:rsid w:val="00EC5106"/>
    <w:rsid w:val="00ED2702"/>
    <w:rsid w:val="00EE13F7"/>
    <w:rsid w:val="00EE284C"/>
    <w:rsid w:val="00EE5CCF"/>
    <w:rsid w:val="00EF25D7"/>
    <w:rsid w:val="00EF5F34"/>
    <w:rsid w:val="00EF728E"/>
    <w:rsid w:val="00EF7F93"/>
    <w:rsid w:val="00F000CA"/>
    <w:rsid w:val="00F0260F"/>
    <w:rsid w:val="00F02891"/>
    <w:rsid w:val="00F103A2"/>
    <w:rsid w:val="00F11811"/>
    <w:rsid w:val="00F20BED"/>
    <w:rsid w:val="00F25340"/>
    <w:rsid w:val="00F31236"/>
    <w:rsid w:val="00F36172"/>
    <w:rsid w:val="00F40CC8"/>
    <w:rsid w:val="00F66AC3"/>
    <w:rsid w:val="00F7015E"/>
    <w:rsid w:val="00F92708"/>
    <w:rsid w:val="00FA2E67"/>
    <w:rsid w:val="00FA437F"/>
    <w:rsid w:val="00FA52C7"/>
    <w:rsid w:val="00FA61EE"/>
    <w:rsid w:val="00FA6E10"/>
    <w:rsid w:val="00FA7E18"/>
    <w:rsid w:val="00FB248B"/>
    <w:rsid w:val="00FB3B98"/>
    <w:rsid w:val="00FC0770"/>
    <w:rsid w:val="00FD1350"/>
    <w:rsid w:val="00FD6A8E"/>
    <w:rsid w:val="00FE0238"/>
    <w:rsid w:val="00FE2635"/>
    <w:rsid w:val="00FE2EE6"/>
    <w:rsid w:val="00FE33CF"/>
    <w:rsid w:val="00FF095D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73D34"/>
  <w15:chartTrackingRefBased/>
  <w15:docId w15:val="{36B39F6D-DAD0-4CA8-BD79-AC7CBC07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EF"/>
    <w:pPr>
      <w:spacing w:after="120" w:line="264" w:lineRule="auto"/>
    </w:pPr>
    <w:rPr>
      <w:rFonts w:ascii="Aptos" w:eastAsia="Times New Roman" w:hAnsi="Apto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7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7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7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7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7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7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7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7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67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67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7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7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7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7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7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7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67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7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67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67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67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67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67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7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7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67EF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7EF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7EF"/>
    <w:rPr>
      <w:rFonts w:ascii="Aptos" w:eastAsia="Calibri" w:hAnsi="Aptos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C67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6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AC3"/>
    <w:pPr>
      <w:spacing w:after="160" w:line="240" w:lineRule="auto"/>
    </w:pPr>
    <w:rPr>
      <w:rFonts w:asciiTheme="minorHAnsi" w:eastAsiaTheme="minorHAnsi" w:hAnsiTheme="minorHAnsi" w:cstheme="minorBidi"/>
      <w:lang w:val="h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AC3"/>
    <w:rPr>
      <w:sz w:val="20"/>
      <w:szCs w:val="20"/>
      <w:lang w:val="h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7"/>
    <w:pPr>
      <w:spacing w:after="120"/>
    </w:pPr>
    <w:rPr>
      <w:rFonts w:ascii="Aptos" w:eastAsia="Times New Roman" w:hAnsi="Aptos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87"/>
    <w:rPr>
      <w:rFonts w:ascii="Aptos" w:eastAsia="Times New Roman" w:hAnsi="Aptos" w:cs="Times New Roman"/>
      <w:b/>
      <w:bCs/>
      <w:sz w:val="20"/>
      <w:szCs w:val="20"/>
      <w:lang w:val="h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2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97355"/>
    <w:pPr>
      <w:spacing w:line="240" w:lineRule="auto"/>
    </w:pPr>
    <w:rPr>
      <w:b/>
      <w:bCs/>
      <w:smallCaps/>
      <w:color w:val="595959"/>
      <w:spacing w:val="6"/>
    </w:rPr>
  </w:style>
  <w:style w:type="paragraph" w:styleId="Header">
    <w:name w:val="header"/>
    <w:basedOn w:val="Normal"/>
    <w:link w:val="HeaderChar"/>
    <w:uiPriority w:val="99"/>
    <w:unhideWhenUsed/>
    <w:rsid w:val="001E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C0"/>
    <w:rPr>
      <w:rFonts w:ascii="Aptos" w:eastAsia="Times New Roman" w:hAnsi="Apto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C0"/>
    <w:rPr>
      <w:rFonts w:ascii="Aptos" w:eastAsia="Times New Roman" w:hAnsi="Apto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97445"/>
    <w:rPr>
      <w:color w:val="467886" w:themeColor="hyperlink"/>
      <w:u w:val="single"/>
    </w:rPr>
  </w:style>
  <w:style w:type="paragraph" w:styleId="Revision">
    <w:name w:val="Revision"/>
    <w:hidden/>
    <w:uiPriority w:val="99"/>
    <w:semiHidden/>
    <w:rsid w:val="00446F78"/>
    <w:pPr>
      <w:spacing w:after="0" w:line="240" w:lineRule="auto"/>
    </w:pPr>
    <w:rPr>
      <w:rFonts w:ascii="Aptos" w:eastAsia="Times New Roman" w:hAnsi="Apto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4BA"/>
    <w:rPr>
      <w:color w:val="96607D" w:themeColor="followedHyperlink"/>
      <w:u w:val="single"/>
    </w:rPr>
  </w:style>
  <w:style w:type="paragraph" w:customStyle="1" w:styleId="ParagraphNumbering">
    <w:name w:val="Paragraph Numbering"/>
    <w:basedOn w:val="Normal"/>
    <w:link w:val="ParagraphNumberingChar"/>
    <w:uiPriority w:val="2"/>
    <w:qFormat/>
    <w:rsid w:val="00137BC0"/>
    <w:pPr>
      <w:numPr>
        <w:numId w:val="33"/>
      </w:numPr>
      <w:spacing w:after="240" w:line="300" w:lineRule="auto"/>
    </w:pPr>
    <w:rPr>
      <w:rFonts w:asciiTheme="minorHAnsi" w:eastAsia="SimSun" w:hAnsiTheme="minorHAnsi"/>
      <w:szCs w:val="24"/>
    </w:rPr>
  </w:style>
  <w:style w:type="character" w:customStyle="1" w:styleId="ParagraphNumberingChar">
    <w:name w:val="Paragraph Numbering Char"/>
    <w:link w:val="ParagraphNumbering"/>
    <w:uiPriority w:val="2"/>
    <w:rsid w:val="00137BC0"/>
    <w:rPr>
      <w:rFonts w:eastAsia="SimSu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11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611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pn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GHEA Grapalat"/>
                <a:ea typeface="+mn-ea"/>
                <a:cs typeface="+mn-cs"/>
              </a:defRPr>
            </a:pPr>
            <a:r>
              <a:rPr lang="hy-AM" sz="800">
                <a:solidFill>
                  <a:sysClr val="windowText" lastClr="000000"/>
                </a:solidFill>
                <a:latin typeface="GHEA Grapalat"/>
              </a:rPr>
              <a:t>ՊՄԸ-ների կողմից շահութաբաժինների գծով փաստացի բյուջետային մուտքեր,</a:t>
            </a:r>
            <a:r>
              <a:rPr lang="en-US" sz="800">
                <a:solidFill>
                  <a:sysClr val="windowText" lastClr="000000"/>
                </a:solidFill>
                <a:latin typeface="GHEA Grapalat"/>
              </a:rPr>
              <a:t> </a:t>
            </a:r>
            <a:r>
              <a:rPr lang="hy-AM" sz="800">
                <a:solidFill>
                  <a:sysClr val="windowText" lastClr="000000"/>
                </a:solidFill>
                <a:latin typeface="GHEA Grapalat"/>
              </a:rPr>
              <a:t>ՀՀ հազար դրամ</a:t>
            </a:r>
            <a:endParaRPr lang="en-US" sz="800">
              <a:solidFill>
                <a:sysClr val="windowText" lastClr="000000"/>
              </a:solidFill>
              <a:latin typeface="GHEA Grapalat"/>
            </a:endParaRPr>
          </a:p>
        </c:rich>
      </c:tx>
      <c:layout>
        <c:manualLayout>
          <c:xMode val="edge"/>
          <c:yMode val="edge"/>
          <c:x val="0.1830345581802274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GHEA Grapala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'Sheet1 (2)'!$A$6:$A$11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'Sheet1 (2)'!$A$6:$A$11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5-4D29-BBB2-DA75ADA97D6D}"/>
            </c:ext>
          </c:extLst>
        </c:ser>
        <c:ser>
          <c:idx val="1"/>
          <c:order val="1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numRef>
              <c:f>'Sheet1 (2)'!$A$6:$A$11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'Sheet1 (2)'!$E$6:$E$11</c:f>
              <c:numCache>
                <c:formatCode>_(* #,##0.00_);_(* \(#,##0.00\);_(* "-"??_);_(@_)</c:formatCode>
                <c:ptCount val="6"/>
                <c:pt idx="0">
                  <c:v>1267631.6399999999</c:v>
                </c:pt>
                <c:pt idx="1">
                  <c:v>1504795.24</c:v>
                </c:pt>
                <c:pt idx="2">
                  <c:v>3563517.04</c:v>
                </c:pt>
                <c:pt idx="3">
                  <c:v>789119.09</c:v>
                </c:pt>
                <c:pt idx="4">
                  <c:v>1303870.51</c:v>
                </c:pt>
                <c:pt idx="5">
                  <c:v>2300000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05-4D29-BBB2-DA75ADA97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2947839"/>
        <c:axId val="1599148367"/>
      </c:barChart>
      <c:catAx>
        <c:axId val="157294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9148367"/>
        <c:crosses val="autoZero"/>
        <c:auto val="1"/>
        <c:lblAlgn val="ctr"/>
        <c:lblOffset val="100"/>
        <c:noMultiLvlLbl val="0"/>
      </c:catAx>
      <c:valAx>
        <c:axId val="159914836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(* #,##0_);_(* \(#,##0\);_(* &quot;-&quot;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2947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0E95C1-B114-4C6A-B91E-2F1AC1B0E709}" type="doc">
      <dgm:prSet loTypeId="urn:microsoft.com/office/officeart/2005/8/layout/cycle6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60B1F3F0-022C-4734-9461-21C8F13267F8}">
      <dgm:prSet phldrT="[Text]" custT="1"/>
      <dgm:spPr>
        <a:xfrm>
          <a:off x="2462472" y="1679"/>
          <a:ext cx="1018654" cy="662125"/>
        </a:xfrm>
        <a:prstGeom prst="roundRect">
          <a:avLst/>
        </a:prstGeom>
        <a:solidFill>
          <a:srgbClr val="156082">
            <a:shade val="8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y-AM" sz="105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Հստակ մանդատ</a:t>
          </a:r>
          <a:endParaRPr lang="en-US" sz="105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F4A88087-6F52-45F3-9526-96AE627AE151}" type="parTrans" cxnId="{7B989A1A-4884-48B2-9EBC-11444851BF9A}">
      <dgm:prSet/>
      <dgm:spPr/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D2A4200E-D00E-4327-ABA4-AA4E7BD8DC05}" type="sibTrans" cxnId="{7B989A1A-4884-48B2-9EBC-11444851BF9A}">
      <dgm:prSet/>
      <dgm:spPr>
        <a:xfrm>
          <a:off x="1411289" y="332742"/>
          <a:ext cx="3121020" cy="3121020"/>
        </a:xfrm>
        <a:custGeom>
          <a:avLst/>
          <a:gdLst/>
          <a:ahLst/>
          <a:cxnLst/>
          <a:rect l="0" t="0" r="0" b="0"/>
          <a:pathLst>
            <a:path>
              <a:moveTo>
                <a:pt x="2076353" y="87724"/>
              </a:moveTo>
              <a:arcTo wR="1560510" hR="1560510" stAng="17358168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1F2D0FF8-63F2-454C-AAF9-BC026F7A7EAA}">
      <dgm:prSet phldrT="[Text]" custT="1"/>
      <dgm:spPr>
        <a:xfrm>
          <a:off x="3813914" y="781934"/>
          <a:ext cx="1018654" cy="662125"/>
        </a:xfrm>
        <a:prstGeom prst="roundRect">
          <a:avLst/>
        </a:prstGeom>
        <a:solidFill>
          <a:srgbClr val="156082">
            <a:shade val="80000"/>
            <a:hueOff val="109120"/>
            <a:satOff val="-11378"/>
            <a:lumOff val="764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y-AM" sz="105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Բավարար անկախություն</a:t>
          </a:r>
          <a:endParaRPr lang="en-US" sz="105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41E852E5-BC02-45B5-B417-1105BAB403A9}" type="parTrans" cxnId="{5D9F11C8-9862-4DE4-95E5-F0009A303940}">
      <dgm:prSet/>
      <dgm:spPr/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AB5B7AD5-1405-4853-AB0C-5BB3E0218337}" type="sibTrans" cxnId="{5D9F11C8-9862-4DE4-95E5-F0009A303940}">
      <dgm:prSet/>
      <dgm:spPr>
        <a:xfrm>
          <a:off x="1411289" y="332742"/>
          <a:ext cx="3121020" cy="3121020"/>
        </a:xfrm>
        <a:custGeom>
          <a:avLst/>
          <a:gdLst/>
          <a:ahLst/>
          <a:cxnLst/>
          <a:rect l="0" t="0" r="0" b="0"/>
          <a:pathLst>
            <a:path>
              <a:moveTo>
                <a:pt x="3057533" y="1119928"/>
              </a:moveTo>
              <a:arcTo wR="1560510" hR="1560510" stAng="20616035" swAng="1967930"/>
            </a:path>
          </a:pathLst>
        </a:custGeom>
        <a:noFill/>
        <a:ln w="6350" cap="flat" cmpd="sng" algn="ctr">
          <a:solidFill>
            <a:srgbClr val="156082">
              <a:shade val="90000"/>
              <a:hueOff val="109088"/>
              <a:satOff val="-11234"/>
              <a:lumOff val="73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EE90E53B-816A-4F27-B09D-4F3D7576A07A}">
      <dgm:prSet phldrT="[Text]" custT="1"/>
      <dgm:spPr>
        <a:xfrm>
          <a:off x="2462472" y="3122700"/>
          <a:ext cx="1018654" cy="662125"/>
        </a:xfrm>
        <a:prstGeom prst="roundRect">
          <a:avLst/>
        </a:prstGeom>
        <a:solidFill>
          <a:srgbClr val="156082">
            <a:shade val="80000"/>
            <a:hueOff val="327359"/>
            <a:satOff val="-34135"/>
            <a:lumOff val="2293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y-AM" sz="105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Ռեսուրսների </a:t>
          </a:r>
          <a:r>
            <a:rPr lang="hy-AM" sz="1050" dirty="0" err="1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հասանելիություն</a:t>
          </a:r>
          <a:r>
            <a:rPr lang="hy-AM" sz="105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r>
            <a:rPr lang="hy-AM" sz="1050" dirty="0" err="1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կարողություններ</a:t>
          </a:r>
          <a:endParaRPr lang="en-US" sz="105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6D9B886D-71FF-4578-8BC8-A53DA6406797}" type="parTrans" cxnId="{E5F1F5EA-1308-4881-A8B9-7195226C4D4A}">
      <dgm:prSet/>
      <dgm:spPr/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EE26BA84-F816-4B5E-BFEF-33683AF9591A}" type="sibTrans" cxnId="{E5F1F5EA-1308-4881-A8B9-7195226C4D4A}">
      <dgm:prSet/>
      <dgm:spPr>
        <a:xfrm>
          <a:off x="1411289" y="332742"/>
          <a:ext cx="3121020" cy="3121020"/>
        </a:xfrm>
        <a:custGeom>
          <a:avLst/>
          <a:gdLst/>
          <a:ahLst/>
          <a:cxnLst/>
          <a:rect l="0" t="0" r="0" b="0"/>
          <a:pathLst>
            <a:path>
              <a:moveTo>
                <a:pt x="1044667" y="3033295"/>
              </a:moveTo>
              <a:arcTo wR="1560510" hR="1560510" stAng="6558168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327263"/>
              <a:satOff val="-33701"/>
              <a:lumOff val="2196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CCAFDDA8-3187-4EB0-911F-9BA1F64473FB}">
      <dgm:prSet phldrT="[Text]" custT="1"/>
      <dgm:spPr>
        <a:xfrm>
          <a:off x="1111031" y="2342445"/>
          <a:ext cx="1018654" cy="662125"/>
        </a:xfrm>
        <a:prstGeom prst="roundRect">
          <a:avLst/>
        </a:prstGeom>
        <a:solidFill>
          <a:srgbClr val="156082">
            <a:shade val="80000"/>
            <a:hueOff val="436479"/>
            <a:satOff val="-45514"/>
            <a:lumOff val="3057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y-AM" sz="105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ՊՄԸ պատշաճ հաշվետվո-ղականություն</a:t>
          </a:r>
          <a:endParaRPr lang="en-US" sz="105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DFE94079-AF04-4CBB-9643-0671346CCFFF}" type="parTrans" cxnId="{C07C181D-5CE7-45FE-BCE9-DB5647447ED0}">
      <dgm:prSet/>
      <dgm:spPr/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3A274DCC-0D98-4D04-A2E9-E4E3122E8E30}" type="sibTrans" cxnId="{C07C181D-5CE7-45FE-BCE9-DB5647447ED0}">
      <dgm:prSet/>
      <dgm:spPr>
        <a:xfrm>
          <a:off x="1411289" y="332742"/>
          <a:ext cx="3121020" cy="3121020"/>
        </a:xfrm>
        <a:custGeom>
          <a:avLst/>
          <a:gdLst/>
          <a:ahLst/>
          <a:cxnLst/>
          <a:rect l="0" t="0" r="0" b="0"/>
          <a:pathLst>
            <a:path>
              <a:moveTo>
                <a:pt x="63486" y="2001091"/>
              </a:moveTo>
              <a:arcTo wR="1560510" hR="1560510" stAng="9816035" swAng="1967930"/>
            </a:path>
          </a:pathLst>
        </a:custGeom>
        <a:noFill/>
        <a:ln w="6350" cap="flat" cmpd="sng" algn="ctr">
          <a:solidFill>
            <a:srgbClr val="156082">
              <a:shade val="90000"/>
              <a:hueOff val="436351"/>
              <a:satOff val="-44934"/>
              <a:lumOff val="2928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33B1F65C-54A5-4080-BCC4-B838FDACCBCB}">
      <dgm:prSet phldrT="[Text]" custT="1"/>
      <dgm:spPr>
        <a:xfrm>
          <a:off x="1111031" y="781934"/>
          <a:ext cx="1018654" cy="662125"/>
        </a:xfrm>
        <a:prstGeom prst="roundRect">
          <a:avLst/>
        </a:prstGeom>
        <a:solidFill>
          <a:srgbClr val="156082">
            <a:shade val="80000"/>
            <a:hueOff val="545598"/>
            <a:satOff val="-56892"/>
            <a:lumOff val="3822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y-AM" sz="105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Հաշվետվողականություն կառավարության կողմից</a:t>
          </a:r>
          <a:endParaRPr lang="en-US" sz="105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DC8AC5AD-973D-4523-B1E9-6AF9E3EA6A75}" type="parTrans" cxnId="{5B3A1610-807A-496E-9AC8-1CE5F5D028DB}">
      <dgm:prSet/>
      <dgm:spPr/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6520A863-0D89-437D-953F-C3348ADCCDE6}" type="sibTrans" cxnId="{5B3A1610-807A-496E-9AC8-1CE5F5D028DB}">
      <dgm:prSet/>
      <dgm:spPr>
        <a:xfrm>
          <a:off x="1411289" y="332742"/>
          <a:ext cx="3121020" cy="3121020"/>
        </a:xfrm>
        <a:custGeom>
          <a:avLst/>
          <a:gdLst/>
          <a:ahLst/>
          <a:cxnLst/>
          <a:rect l="0" t="0" r="0" b="0"/>
          <a:pathLst>
            <a:path>
              <a:moveTo>
                <a:pt x="469913" y="444360"/>
              </a:moveTo>
              <a:arcTo wR="1560510" hR="1560510" stAng="13539806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545439"/>
              <a:satOff val="-56168"/>
              <a:lumOff val="366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21A6DC5C-D485-4597-B613-B41694155CF6}">
      <dgm:prSet custT="1"/>
      <dgm:spPr>
        <a:xfrm>
          <a:off x="3813914" y="2342445"/>
          <a:ext cx="1018654" cy="662125"/>
        </a:xfrm>
        <a:prstGeom prst="roundRect">
          <a:avLst/>
        </a:prstGeom>
        <a:solidFill>
          <a:srgbClr val="156082">
            <a:shade val="80000"/>
            <a:hueOff val="218239"/>
            <a:satOff val="-22757"/>
            <a:lumOff val="1528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y-AM" sz="105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Պատշաճ կառավարում</a:t>
          </a:r>
          <a:endParaRPr lang="en-US" sz="105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9C467236-4FF5-4F3F-89E9-771A0B80B340}" type="parTrans" cxnId="{9706033D-0C67-4610-8FC4-EA6F2C5D2600}">
      <dgm:prSet/>
      <dgm:spPr/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5535EF26-292B-43FB-8D4B-687CD3CE7CC8}" type="sibTrans" cxnId="{9706033D-0C67-4610-8FC4-EA6F2C5D2600}">
      <dgm:prSet/>
      <dgm:spPr>
        <a:xfrm>
          <a:off x="1411289" y="332742"/>
          <a:ext cx="3121020" cy="3121020"/>
        </a:xfrm>
        <a:custGeom>
          <a:avLst/>
          <a:gdLst/>
          <a:ahLst/>
          <a:cxnLst/>
          <a:rect l="0" t="0" r="0" b="0"/>
          <a:pathLst>
            <a:path>
              <a:moveTo>
                <a:pt x="2651106" y="2676660"/>
              </a:moveTo>
              <a:arcTo wR="1560510" hR="1560510" stAng="2739806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218176"/>
              <a:satOff val="-22467"/>
              <a:lumOff val="1464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50">
            <a:latin typeface="GHEA Grapalat" panose="02000506050000020003" pitchFamily="50" charset="0"/>
          </a:endParaRPr>
        </a:p>
      </dgm:t>
    </dgm:pt>
    <dgm:pt modelId="{C864CD5C-0D0A-4DCF-9FC0-D78BD25F1426}" type="pres">
      <dgm:prSet presAssocID="{820E95C1-B114-4C6A-B91E-2F1AC1B0E70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1CE1EB-2202-490E-9640-0536E993E005}" type="pres">
      <dgm:prSet presAssocID="{60B1F3F0-022C-4734-9461-21C8F13267F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AB1846-6247-45F5-8FA8-DA081E4C6073}" type="pres">
      <dgm:prSet presAssocID="{60B1F3F0-022C-4734-9461-21C8F13267F8}" presName="spNode" presStyleCnt="0"/>
      <dgm:spPr/>
    </dgm:pt>
    <dgm:pt modelId="{6F687FDA-EE47-4ED4-9795-B01BDB225514}" type="pres">
      <dgm:prSet presAssocID="{D2A4200E-D00E-4327-ABA4-AA4E7BD8DC05}" presName="sibTrans" presStyleLbl="sibTrans1D1" presStyleIdx="0" presStyleCnt="6"/>
      <dgm:spPr/>
      <dgm:t>
        <a:bodyPr/>
        <a:lstStyle/>
        <a:p>
          <a:endParaRPr lang="en-US"/>
        </a:p>
      </dgm:t>
    </dgm:pt>
    <dgm:pt modelId="{C363B4C0-00CC-4A32-ACD4-B240B79894E1}" type="pres">
      <dgm:prSet presAssocID="{1F2D0FF8-63F2-454C-AAF9-BC026F7A7EAA}" presName="node" presStyleLbl="node1" presStyleIdx="1" presStyleCnt="6" custScaleX="1027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ACA34E-47CE-4FAA-844C-B638A4496A9E}" type="pres">
      <dgm:prSet presAssocID="{1F2D0FF8-63F2-454C-AAF9-BC026F7A7EAA}" presName="spNode" presStyleCnt="0"/>
      <dgm:spPr/>
    </dgm:pt>
    <dgm:pt modelId="{C1C095BE-0ADE-4D0E-B4B1-8C8E99F64DBD}" type="pres">
      <dgm:prSet presAssocID="{AB5B7AD5-1405-4853-AB0C-5BB3E0218337}" presName="sibTrans" presStyleLbl="sibTrans1D1" presStyleIdx="1" presStyleCnt="6"/>
      <dgm:spPr/>
      <dgm:t>
        <a:bodyPr/>
        <a:lstStyle/>
        <a:p>
          <a:endParaRPr lang="en-US"/>
        </a:p>
      </dgm:t>
    </dgm:pt>
    <dgm:pt modelId="{B0E05695-1604-491E-B179-60A5654D24A9}" type="pres">
      <dgm:prSet presAssocID="{21A6DC5C-D485-4597-B613-B41694155CF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B12F05-83CA-4651-8B18-439D421C0F9B}" type="pres">
      <dgm:prSet presAssocID="{21A6DC5C-D485-4597-B613-B41694155CF6}" presName="spNode" presStyleCnt="0"/>
      <dgm:spPr/>
    </dgm:pt>
    <dgm:pt modelId="{0917AF66-8F64-400F-972D-B9E5893BAADC}" type="pres">
      <dgm:prSet presAssocID="{5535EF26-292B-43FB-8D4B-687CD3CE7CC8}" presName="sibTrans" presStyleLbl="sibTrans1D1" presStyleIdx="2" presStyleCnt="6"/>
      <dgm:spPr/>
      <dgm:t>
        <a:bodyPr/>
        <a:lstStyle/>
        <a:p>
          <a:endParaRPr lang="en-US"/>
        </a:p>
      </dgm:t>
    </dgm:pt>
    <dgm:pt modelId="{5A202CF9-E50E-4A07-8338-D642EE6BC715}" type="pres">
      <dgm:prSet presAssocID="{EE90E53B-816A-4F27-B09D-4F3D7576A07A}" presName="node" presStyleLbl="node1" presStyleIdx="3" presStyleCnt="6" custScaleX="125058" custScaleY="1283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4E2077-6E83-4460-85FC-0E328733085A}" type="pres">
      <dgm:prSet presAssocID="{EE90E53B-816A-4F27-B09D-4F3D7576A07A}" presName="spNode" presStyleCnt="0"/>
      <dgm:spPr/>
    </dgm:pt>
    <dgm:pt modelId="{9ECDF23C-2FA6-457B-BD2D-5428B1588790}" type="pres">
      <dgm:prSet presAssocID="{EE26BA84-F816-4B5E-BFEF-33683AF9591A}" presName="sibTrans" presStyleLbl="sibTrans1D1" presStyleIdx="3" presStyleCnt="6"/>
      <dgm:spPr/>
      <dgm:t>
        <a:bodyPr/>
        <a:lstStyle/>
        <a:p>
          <a:endParaRPr lang="en-US"/>
        </a:p>
      </dgm:t>
    </dgm:pt>
    <dgm:pt modelId="{F1ED31E7-59C9-4504-8AE5-4F19CD17DF36}" type="pres">
      <dgm:prSet presAssocID="{CCAFDDA8-3187-4EB0-911F-9BA1F64473FB}" presName="node" presStyleLbl="node1" presStyleIdx="4" presStyleCnt="6" custScaleX="1295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08C4A8-8362-47AE-A123-D6472DF859D2}" type="pres">
      <dgm:prSet presAssocID="{CCAFDDA8-3187-4EB0-911F-9BA1F64473FB}" presName="spNode" presStyleCnt="0"/>
      <dgm:spPr/>
    </dgm:pt>
    <dgm:pt modelId="{22070694-8091-409F-8DBA-E82633B82C98}" type="pres">
      <dgm:prSet presAssocID="{3A274DCC-0D98-4D04-A2E9-E4E3122E8E30}" presName="sibTrans" presStyleLbl="sibTrans1D1" presStyleIdx="4" presStyleCnt="6"/>
      <dgm:spPr/>
      <dgm:t>
        <a:bodyPr/>
        <a:lstStyle/>
        <a:p>
          <a:endParaRPr lang="en-US"/>
        </a:p>
      </dgm:t>
    </dgm:pt>
    <dgm:pt modelId="{AEF69BB1-6D71-4F7A-803F-083963EB9CF2}" type="pres">
      <dgm:prSet presAssocID="{33B1F65C-54A5-4080-BCC4-B838FDACCBCB}" presName="node" presStyleLbl="node1" presStyleIdx="5" presStyleCnt="6" custScaleX="1255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0D588A-1AE3-4155-9C03-CB98FFD9E7AF}" type="pres">
      <dgm:prSet presAssocID="{33B1F65C-54A5-4080-BCC4-B838FDACCBCB}" presName="spNode" presStyleCnt="0"/>
      <dgm:spPr/>
    </dgm:pt>
    <dgm:pt modelId="{4B887234-9E57-42C7-AF63-D8D0A7FB5A48}" type="pres">
      <dgm:prSet presAssocID="{6520A863-0D89-437D-953F-C3348ADCCDE6}" presName="sibTrans" presStyleLbl="sibTrans1D1" presStyleIdx="5" presStyleCnt="6"/>
      <dgm:spPr/>
      <dgm:t>
        <a:bodyPr/>
        <a:lstStyle/>
        <a:p>
          <a:endParaRPr lang="en-US"/>
        </a:p>
      </dgm:t>
    </dgm:pt>
  </dgm:ptLst>
  <dgm:cxnLst>
    <dgm:cxn modelId="{A280433C-A7B8-4001-9374-8DC3C3D5E7A5}" type="presOf" srcId="{820E95C1-B114-4C6A-B91E-2F1AC1B0E709}" destId="{C864CD5C-0D0A-4DCF-9FC0-D78BD25F1426}" srcOrd="0" destOrd="0" presId="urn:microsoft.com/office/officeart/2005/8/layout/cycle6"/>
    <dgm:cxn modelId="{ECD45B73-BD8E-4843-A993-A22A4E10F888}" type="presOf" srcId="{CCAFDDA8-3187-4EB0-911F-9BA1F64473FB}" destId="{F1ED31E7-59C9-4504-8AE5-4F19CD17DF36}" srcOrd="0" destOrd="0" presId="urn:microsoft.com/office/officeart/2005/8/layout/cycle6"/>
    <dgm:cxn modelId="{979EF255-20FE-45F3-B5AB-0B6FE7E2BD8E}" type="presOf" srcId="{5535EF26-292B-43FB-8D4B-687CD3CE7CC8}" destId="{0917AF66-8F64-400F-972D-B9E5893BAADC}" srcOrd="0" destOrd="0" presId="urn:microsoft.com/office/officeart/2005/8/layout/cycle6"/>
    <dgm:cxn modelId="{5D9F11C8-9862-4DE4-95E5-F0009A303940}" srcId="{820E95C1-B114-4C6A-B91E-2F1AC1B0E709}" destId="{1F2D0FF8-63F2-454C-AAF9-BC026F7A7EAA}" srcOrd="1" destOrd="0" parTransId="{41E852E5-BC02-45B5-B417-1105BAB403A9}" sibTransId="{AB5B7AD5-1405-4853-AB0C-5BB3E0218337}"/>
    <dgm:cxn modelId="{725D376B-01F2-4E52-9AD4-9ECC6C1E0EA2}" type="presOf" srcId="{6520A863-0D89-437D-953F-C3348ADCCDE6}" destId="{4B887234-9E57-42C7-AF63-D8D0A7FB5A48}" srcOrd="0" destOrd="0" presId="urn:microsoft.com/office/officeart/2005/8/layout/cycle6"/>
    <dgm:cxn modelId="{C07C181D-5CE7-45FE-BCE9-DB5647447ED0}" srcId="{820E95C1-B114-4C6A-B91E-2F1AC1B0E709}" destId="{CCAFDDA8-3187-4EB0-911F-9BA1F64473FB}" srcOrd="4" destOrd="0" parTransId="{DFE94079-AF04-4CBB-9643-0671346CCFFF}" sibTransId="{3A274DCC-0D98-4D04-A2E9-E4E3122E8E30}"/>
    <dgm:cxn modelId="{3FAFC657-DD38-4100-8987-F58ED4A403BB}" type="presOf" srcId="{AB5B7AD5-1405-4853-AB0C-5BB3E0218337}" destId="{C1C095BE-0ADE-4D0E-B4B1-8C8E99F64DBD}" srcOrd="0" destOrd="0" presId="urn:microsoft.com/office/officeart/2005/8/layout/cycle6"/>
    <dgm:cxn modelId="{1214192D-9759-4E74-94B2-DC2EA414817F}" type="presOf" srcId="{3A274DCC-0D98-4D04-A2E9-E4E3122E8E30}" destId="{22070694-8091-409F-8DBA-E82633B82C98}" srcOrd="0" destOrd="0" presId="urn:microsoft.com/office/officeart/2005/8/layout/cycle6"/>
    <dgm:cxn modelId="{61DAC9F0-15AD-4627-9BDF-199C3AE10F9B}" type="presOf" srcId="{60B1F3F0-022C-4734-9461-21C8F13267F8}" destId="{8B1CE1EB-2202-490E-9640-0536E993E005}" srcOrd="0" destOrd="0" presId="urn:microsoft.com/office/officeart/2005/8/layout/cycle6"/>
    <dgm:cxn modelId="{A66135A6-4DB2-4D67-B282-5BD50DAE0BD0}" type="presOf" srcId="{EE26BA84-F816-4B5E-BFEF-33683AF9591A}" destId="{9ECDF23C-2FA6-457B-BD2D-5428B1588790}" srcOrd="0" destOrd="0" presId="urn:microsoft.com/office/officeart/2005/8/layout/cycle6"/>
    <dgm:cxn modelId="{8FFB53A2-0B49-49D3-8A38-36848760637F}" type="presOf" srcId="{33B1F65C-54A5-4080-BCC4-B838FDACCBCB}" destId="{AEF69BB1-6D71-4F7A-803F-083963EB9CF2}" srcOrd="0" destOrd="0" presId="urn:microsoft.com/office/officeart/2005/8/layout/cycle6"/>
    <dgm:cxn modelId="{BA1ADE5E-940A-4CAF-BD48-7F398BDB8177}" type="presOf" srcId="{1F2D0FF8-63F2-454C-AAF9-BC026F7A7EAA}" destId="{C363B4C0-00CC-4A32-ACD4-B240B79894E1}" srcOrd="0" destOrd="0" presId="urn:microsoft.com/office/officeart/2005/8/layout/cycle6"/>
    <dgm:cxn modelId="{652F3F2C-5A81-4D7A-8C84-48AA36AB97F3}" type="presOf" srcId="{21A6DC5C-D485-4597-B613-B41694155CF6}" destId="{B0E05695-1604-491E-B179-60A5654D24A9}" srcOrd="0" destOrd="0" presId="urn:microsoft.com/office/officeart/2005/8/layout/cycle6"/>
    <dgm:cxn modelId="{7B989A1A-4884-48B2-9EBC-11444851BF9A}" srcId="{820E95C1-B114-4C6A-B91E-2F1AC1B0E709}" destId="{60B1F3F0-022C-4734-9461-21C8F13267F8}" srcOrd="0" destOrd="0" parTransId="{F4A88087-6F52-45F3-9526-96AE627AE151}" sibTransId="{D2A4200E-D00E-4327-ABA4-AA4E7BD8DC05}"/>
    <dgm:cxn modelId="{9706033D-0C67-4610-8FC4-EA6F2C5D2600}" srcId="{820E95C1-B114-4C6A-B91E-2F1AC1B0E709}" destId="{21A6DC5C-D485-4597-B613-B41694155CF6}" srcOrd="2" destOrd="0" parTransId="{9C467236-4FF5-4F3F-89E9-771A0B80B340}" sibTransId="{5535EF26-292B-43FB-8D4B-687CD3CE7CC8}"/>
    <dgm:cxn modelId="{5B3A1610-807A-496E-9AC8-1CE5F5D028DB}" srcId="{820E95C1-B114-4C6A-B91E-2F1AC1B0E709}" destId="{33B1F65C-54A5-4080-BCC4-B838FDACCBCB}" srcOrd="5" destOrd="0" parTransId="{DC8AC5AD-973D-4523-B1E9-6AF9E3EA6A75}" sibTransId="{6520A863-0D89-437D-953F-C3348ADCCDE6}"/>
    <dgm:cxn modelId="{E5F1F5EA-1308-4881-A8B9-7195226C4D4A}" srcId="{820E95C1-B114-4C6A-B91E-2F1AC1B0E709}" destId="{EE90E53B-816A-4F27-B09D-4F3D7576A07A}" srcOrd="3" destOrd="0" parTransId="{6D9B886D-71FF-4578-8BC8-A53DA6406797}" sibTransId="{EE26BA84-F816-4B5E-BFEF-33683AF9591A}"/>
    <dgm:cxn modelId="{C95F3A06-07F4-4B76-ABC3-6EEE58E4CCE8}" type="presOf" srcId="{EE90E53B-816A-4F27-B09D-4F3D7576A07A}" destId="{5A202CF9-E50E-4A07-8338-D642EE6BC715}" srcOrd="0" destOrd="0" presId="urn:microsoft.com/office/officeart/2005/8/layout/cycle6"/>
    <dgm:cxn modelId="{D10970DD-20C6-468A-B68C-A1756CABB164}" type="presOf" srcId="{D2A4200E-D00E-4327-ABA4-AA4E7BD8DC05}" destId="{6F687FDA-EE47-4ED4-9795-B01BDB225514}" srcOrd="0" destOrd="0" presId="urn:microsoft.com/office/officeart/2005/8/layout/cycle6"/>
    <dgm:cxn modelId="{E0DDCEF2-BCA6-4978-B426-32768AE2B727}" type="presParOf" srcId="{C864CD5C-0D0A-4DCF-9FC0-D78BD25F1426}" destId="{8B1CE1EB-2202-490E-9640-0536E993E005}" srcOrd="0" destOrd="0" presId="urn:microsoft.com/office/officeart/2005/8/layout/cycle6"/>
    <dgm:cxn modelId="{BC0DCDED-E56F-41BC-BA9B-DAE9CAEC702C}" type="presParOf" srcId="{C864CD5C-0D0A-4DCF-9FC0-D78BD25F1426}" destId="{A2AB1846-6247-45F5-8FA8-DA081E4C6073}" srcOrd="1" destOrd="0" presId="urn:microsoft.com/office/officeart/2005/8/layout/cycle6"/>
    <dgm:cxn modelId="{C7D85D28-56E2-4987-86A3-4593DC21F591}" type="presParOf" srcId="{C864CD5C-0D0A-4DCF-9FC0-D78BD25F1426}" destId="{6F687FDA-EE47-4ED4-9795-B01BDB225514}" srcOrd="2" destOrd="0" presId="urn:microsoft.com/office/officeart/2005/8/layout/cycle6"/>
    <dgm:cxn modelId="{FB052F4A-8D0D-4A77-B10E-BFFEC0969585}" type="presParOf" srcId="{C864CD5C-0D0A-4DCF-9FC0-D78BD25F1426}" destId="{C363B4C0-00CC-4A32-ACD4-B240B79894E1}" srcOrd="3" destOrd="0" presId="urn:microsoft.com/office/officeart/2005/8/layout/cycle6"/>
    <dgm:cxn modelId="{58F76404-6CD2-4091-8166-B0FAF4791410}" type="presParOf" srcId="{C864CD5C-0D0A-4DCF-9FC0-D78BD25F1426}" destId="{FCACA34E-47CE-4FAA-844C-B638A4496A9E}" srcOrd="4" destOrd="0" presId="urn:microsoft.com/office/officeart/2005/8/layout/cycle6"/>
    <dgm:cxn modelId="{92D643A1-C298-41B1-8534-F6931DBD27E5}" type="presParOf" srcId="{C864CD5C-0D0A-4DCF-9FC0-D78BD25F1426}" destId="{C1C095BE-0ADE-4D0E-B4B1-8C8E99F64DBD}" srcOrd="5" destOrd="0" presId="urn:microsoft.com/office/officeart/2005/8/layout/cycle6"/>
    <dgm:cxn modelId="{76D1A372-96EC-4BAA-9977-F30F00CC6C63}" type="presParOf" srcId="{C864CD5C-0D0A-4DCF-9FC0-D78BD25F1426}" destId="{B0E05695-1604-491E-B179-60A5654D24A9}" srcOrd="6" destOrd="0" presId="urn:microsoft.com/office/officeart/2005/8/layout/cycle6"/>
    <dgm:cxn modelId="{C4075951-A070-4461-8D90-74306D55D6DD}" type="presParOf" srcId="{C864CD5C-0D0A-4DCF-9FC0-D78BD25F1426}" destId="{46B12F05-83CA-4651-8B18-439D421C0F9B}" srcOrd="7" destOrd="0" presId="urn:microsoft.com/office/officeart/2005/8/layout/cycle6"/>
    <dgm:cxn modelId="{EC65C6CE-D7E9-4C35-BCA7-418DE4301B13}" type="presParOf" srcId="{C864CD5C-0D0A-4DCF-9FC0-D78BD25F1426}" destId="{0917AF66-8F64-400F-972D-B9E5893BAADC}" srcOrd="8" destOrd="0" presId="urn:microsoft.com/office/officeart/2005/8/layout/cycle6"/>
    <dgm:cxn modelId="{6CDF60CD-24DC-4829-BAFE-F48781BD724A}" type="presParOf" srcId="{C864CD5C-0D0A-4DCF-9FC0-D78BD25F1426}" destId="{5A202CF9-E50E-4A07-8338-D642EE6BC715}" srcOrd="9" destOrd="0" presId="urn:microsoft.com/office/officeart/2005/8/layout/cycle6"/>
    <dgm:cxn modelId="{F990FDD6-8E4D-4146-8B97-46AF93EF66B8}" type="presParOf" srcId="{C864CD5C-0D0A-4DCF-9FC0-D78BD25F1426}" destId="{F64E2077-6E83-4460-85FC-0E328733085A}" srcOrd="10" destOrd="0" presId="urn:microsoft.com/office/officeart/2005/8/layout/cycle6"/>
    <dgm:cxn modelId="{73604E29-3351-40A5-A1C1-E65106AF860A}" type="presParOf" srcId="{C864CD5C-0D0A-4DCF-9FC0-D78BD25F1426}" destId="{9ECDF23C-2FA6-457B-BD2D-5428B1588790}" srcOrd="11" destOrd="0" presId="urn:microsoft.com/office/officeart/2005/8/layout/cycle6"/>
    <dgm:cxn modelId="{0F4FE970-438C-4A25-9C40-623E8557B188}" type="presParOf" srcId="{C864CD5C-0D0A-4DCF-9FC0-D78BD25F1426}" destId="{F1ED31E7-59C9-4504-8AE5-4F19CD17DF36}" srcOrd="12" destOrd="0" presId="urn:microsoft.com/office/officeart/2005/8/layout/cycle6"/>
    <dgm:cxn modelId="{AF7EE32E-9150-4214-BF83-118D33CA05B2}" type="presParOf" srcId="{C864CD5C-0D0A-4DCF-9FC0-D78BD25F1426}" destId="{9608C4A8-8362-47AE-A123-D6472DF859D2}" srcOrd="13" destOrd="0" presId="urn:microsoft.com/office/officeart/2005/8/layout/cycle6"/>
    <dgm:cxn modelId="{F4A67A89-676B-4F3B-826A-544EC066A623}" type="presParOf" srcId="{C864CD5C-0D0A-4DCF-9FC0-D78BD25F1426}" destId="{22070694-8091-409F-8DBA-E82633B82C98}" srcOrd="14" destOrd="0" presId="urn:microsoft.com/office/officeart/2005/8/layout/cycle6"/>
    <dgm:cxn modelId="{819C044F-D64E-4E04-B5B7-F9350025D2A6}" type="presParOf" srcId="{C864CD5C-0D0A-4DCF-9FC0-D78BD25F1426}" destId="{AEF69BB1-6D71-4F7A-803F-083963EB9CF2}" srcOrd="15" destOrd="0" presId="urn:microsoft.com/office/officeart/2005/8/layout/cycle6"/>
    <dgm:cxn modelId="{314DBB65-81C0-4871-9F25-5563ED71D795}" type="presParOf" srcId="{C864CD5C-0D0A-4DCF-9FC0-D78BD25F1426}" destId="{540D588A-1AE3-4155-9C03-CB98FFD9E7AF}" srcOrd="16" destOrd="0" presId="urn:microsoft.com/office/officeart/2005/8/layout/cycle6"/>
    <dgm:cxn modelId="{F7A04C92-BB97-40DE-ACAE-6C9ADBFBD53F}" type="presParOf" srcId="{C864CD5C-0D0A-4DCF-9FC0-D78BD25F1426}" destId="{4B887234-9E57-42C7-AF63-D8D0A7FB5A48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1CE1EB-2202-490E-9640-0536E993E005}">
      <dsp:nvSpPr>
        <dsp:cNvPr id="0" name=""/>
        <dsp:cNvSpPr/>
      </dsp:nvSpPr>
      <dsp:spPr>
        <a:xfrm>
          <a:off x="2215969" y="-47171"/>
          <a:ext cx="1035566" cy="673118"/>
        </a:xfrm>
        <a:prstGeom prst="roundRect">
          <a:avLst/>
        </a:prstGeom>
        <a:solidFill>
          <a:srgbClr val="156082">
            <a:shade val="8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50" kern="120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Հստակ մանդատ</a:t>
          </a:r>
          <a:endParaRPr lang="en-US" sz="1050" kern="120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248828" y="-14312"/>
        <a:ext cx="969848" cy="607400"/>
      </dsp:txXfrm>
    </dsp:sp>
    <dsp:sp modelId="{6F687FDA-EE47-4ED4-9795-B01BDB225514}">
      <dsp:nvSpPr>
        <dsp:cNvPr id="0" name=""/>
        <dsp:cNvSpPr/>
      </dsp:nvSpPr>
      <dsp:spPr>
        <a:xfrm>
          <a:off x="1147401" y="289388"/>
          <a:ext cx="3172702" cy="3172702"/>
        </a:xfrm>
        <a:custGeom>
          <a:avLst/>
          <a:gdLst/>
          <a:ahLst/>
          <a:cxnLst/>
          <a:rect l="0" t="0" r="0" b="0"/>
          <a:pathLst>
            <a:path>
              <a:moveTo>
                <a:pt x="2076353" y="87724"/>
              </a:moveTo>
              <a:arcTo wR="1560510" hR="1560510" stAng="17358168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3B4C0-00CC-4A32-ACD4-B240B79894E1}">
      <dsp:nvSpPr>
        <dsp:cNvPr id="0" name=""/>
        <dsp:cNvSpPr/>
      </dsp:nvSpPr>
      <dsp:spPr>
        <a:xfrm>
          <a:off x="3575525" y="746004"/>
          <a:ext cx="1064096" cy="673118"/>
        </a:xfrm>
        <a:prstGeom prst="roundRect">
          <a:avLst/>
        </a:prstGeom>
        <a:solidFill>
          <a:srgbClr val="156082">
            <a:shade val="80000"/>
            <a:hueOff val="109120"/>
            <a:satOff val="-11378"/>
            <a:lumOff val="764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50" kern="120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Բավարար անկախություն</a:t>
          </a:r>
          <a:endParaRPr lang="en-US" sz="1050" kern="120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608384" y="778863"/>
        <a:ext cx="998378" cy="607400"/>
      </dsp:txXfrm>
    </dsp:sp>
    <dsp:sp modelId="{C1C095BE-0ADE-4D0E-B4B1-8C8E99F64DBD}">
      <dsp:nvSpPr>
        <dsp:cNvPr id="0" name=""/>
        <dsp:cNvSpPr/>
      </dsp:nvSpPr>
      <dsp:spPr>
        <a:xfrm>
          <a:off x="1147401" y="289388"/>
          <a:ext cx="3172702" cy="3172702"/>
        </a:xfrm>
        <a:custGeom>
          <a:avLst/>
          <a:gdLst/>
          <a:ahLst/>
          <a:cxnLst/>
          <a:rect l="0" t="0" r="0" b="0"/>
          <a:pathLst>
            <a:path>
              <a:moveTo>
                <a:pt x="3057533" y="1119928"/>
              </a:moveTo>
              <a:arcTo wR="1560510" hR="1560510" stAng="20616035" swAng="1967930"/>
            </a:path>
          </a:pathLst>
        </a:custGeom>
        <a:noFill/>
        <a:ln w="6350" cap="flat" cmpd="sng" algn="ctr">
          <a:solidFill>
            <a:srgbClr val="156082">
              <a:shade val="90000"/>
              <a:hueOff val="109088"/>
              <a:satOff val="-11234"/>
              <a:lumOff val="7322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05695-1604-491E-B179-60A5654D24A9}">
      <dsp:nvSpPr>
        <dsp:cNvPr id="0" name=""/>
        <dsp:cNvSpPr/>
      </dsp:nvSpPr>
      <dsp:spPr>
        <a:xfrm>
          <a:off x="3589790" y="2332356"/>
          <a:ext cx="1035566" cy="673118"/>
        </a:xfrm>
        <a:prstGeom prst="roundRect">
          <a:avLst/>
        </a:prstGeom>
        <a:solidFill>
          <a:srgbClr val="156082">
            <a:shade val="80000"/>
            <a:hueOff val="218239"/>
            <a:satOff val="-22757"/>
            <a:lumOff val="1528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50" kern="120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Պատշաճ կառավարում</a:t>
          </a:r>
          <a:endParaRPr lang="en-US" sz="1050" kern="120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622649" y="2365215"/>
        <a:ext cx="969848" cy="607400"/>
      </dsp:txXfrm>
    </dsp:sp>
    <dsp:sp modelId="{0917AF66-8F64-400F-972D-B9E5893BAADC}">
      <dsp:nvSpPr>
        <dsp:cNvPr id="0" name=""/>
        <dsp:cNvSpPr/>
      </dsp:nvSpPr>
      <dsp:spPr>
        <a:xfrm>
          <a:off x="1147401" y="289388"/>
          <a:ext cx="3172702" cy="3172702"/>
        </a:xfrm>
        <a:custGeom>
          <a:avLst/>
          <a:gdLst/>
          <a:ahLst/>
          <a:cxnLst/>
          <a:rect l="0" t="0" r="0" b="0"/>
          <a:pathLst>
            <a:path>
              <a:moveTo>
                <a:pt x="2651106" y="2676660"/>
              </a:moveTo>
              <a:arcTo wR="1560510" hR="1560510" stAng="2739806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218176"/>
              <a:satOff val="-22467"/>
              <a:lumOff val="14644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02CF9-E50E-4A07-8338-D642EE6BC715}">
      <dsp:nvSpPr>
        <dsp:cNvPr id="0" name=""/>
        <dsp:cNvSpPr/>
      </dsp:nvSpPr>
      <dsp:spPr>
        <a:xfrm>
          <a:off x="2086223" y="3030225"/>
          <a:ext cx="1295058" cy="863731"/>
        </a:xfrm>
        <a:prstGeom prst="roundRect">
          <a:avLst/>
        </a:prstGeom>
        <a:solidFill>
          <a:srgbClr val="156082">
            <a:shade val="80000"/>
            <a:hueOff val="327359"/>
            <a:satOff val="-34135"/>
            <a:lumOff val="2293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50" kern="120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Ռեսուրսների </a:t>
          </a:r>
          <a:r>
            <a:rPr lang="hy-AM" sz="1050" kern="1200" dirty="0" err="1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հասանելիություն</a:t>
          </a:r>
          <a:r>
            <a:rPr lang="hy-AM" sz="1050" kern="120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r>
            <a:rPr lang="hy-AM" sz="1050" kern="1200" dirty="0" err="1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կարողություններ</a:t>
          </a:r>
          <a:endParaRPr lang="en-US" sz="1050" kern="120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128387" y="3072389"/>
        <a:ext cx="1210730" cy="779403"/>
      </dsp:txXfrm>
    </dsp:sp>
    <dsp:sp modelId="{9ECDF23C-2FA6-457B-BD2D-5428B1588790}">
      <dsp:nvSpPr>
        <dsp:cNvPr id="0" name=""/>
        <dsp:cNvSpPr/>
      </dsp:nvSpPr>
      <dsp:spPr>
        <a:xfrm>
          <a:off x="1147401" y="289388"/>
          <a:ext cx="3172702" cy="3172702"/>
        </a:xfrm>
        <a:custGeom>
          <a:avLst/>
          <a:gdLst/>
          <a:ahLst/>
          <a:cxnLst/>
          <a:rect l="0" t="0" r="0" b="0"/>
          <a:pathLst>
            <a:path>
              <a:moveTo>
                <a:pt x="1044667" y="3033295"/>
              </a:moveTo>
              <a:arcTo wR="1560510" hR="1560510" stAng="6558168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327263"/>
              <a:satOff val="-33701"/>
              <a:lumOff val="21967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D31E7-59C9-4504-8AE5-4F19CD17DF36}">
      <dsp:nvSpPr>
        <dsp:cNvPr id="0" name=""/>
        <dsp:cNvSpPr/>
      </dsp:nvSpPr>
      <dsp:spPr>
        <a:xfrm>
          <a:off x="689123" y="2332356"/>
          <a:ext cx="1341618" cy="673118"/>
        </a:xfrm>
        <a:prstGeom prst="roundRect">
          <a:avLst/>
        </a:prstGeom>
        <a:solidFill>
          <a:srgbClr val="156082">
            <a:shade val="80000"/>
            <a:hueOff val="436479"/>
            <a:satOff val="-45514"/>
            <a:lumOff val="3057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50" kern="1200" dirty="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ՊՄԸ պատշաճ հաշվետվո-ղականություն</a:t>
          </a:r>
          <a:endParaRPr lang="en-US" sz="1050" kern="1200" dirty="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721982" y="2365215"/>
        <a:ext cx="1275900" cy="607400"/>
      </dsp:txXfrm>
    </dsp:sp>
    <dsp:sp modelId="{22070694-8091-409F-8DBA-E82633B82C98}">
      <dsp:nvSpPr>
        <dsp:cNvPr id="0" name=""/>
        <dsp:cNvSpPr/>
      </dsp:nvSpPr>
      <dsp:spPr>
        <a:xfrm>
          <a:off x="1147401" y="289388"/>
          <a:ext cx="3172702" cy="3172702"/>
        </a:xfrm>
        <a:custGeom>
          <a:avLst/>
          <a:gdLst/>
          <a:ahLst/>
          <a:cxnLst/>
          <a:rect l="0" t="0" r="0" b="0"/>
          <a:pathLst>
            <a:path>
              <a:moveTo>
                <a:pt x="63486" y="2001091"/>
              </a:moveTo>
              <a:arcTo wR="1560510" hR="1560510" stAng="9816035" swAng="1967930"/>
            </a:path>
          </a:pathLst>
        </a:custGeom>
        <a:noFill/>
        <a:ln w="6350" cap="flat" cmpd="sng" algn="ctr">
          <a:solidFill>
            <a:srgbClr val="156082">
              <a:shade val="90000"/>
              <a:hueOff val="436351"/>
              <a:satOff val="-44934"/>
              <a:lumOff val="2928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69BB1-6D71-4F7A-803F-083963EB9CF2}">
      <dsp:nvSpPr>
        <dsp:cNvPr id="0" name=""/>
        <dsp:cNvSpPr/>
      </dsp:nvSpPr>
      <dsp:spPr>
        <a:xfrm>
          <a:off x="709611" y="746004"/>
          <a:ext cx="1300640" cy="673118"/>
        </a:xfrm>
        <a:prstGeom prst="roundRect">
          <a:avLst/>
        </a:prstGeom>
        <a:solidFill>
          <a:srgbClr val="156082">
            <a:shade val="80000"/>
            <a:hueOff val="545598"/>
            <a:satOff val="-56892"/>
            <a:lumOff val="3822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50" kern="1200">
              <a:solidFill>
                <a:sysClr val="window" lastClr="FFFFFF"/>
              </a:solidFill>
              <a:latin typeface="GHEA Grapalat" panose="02000506050000020003" pitchFamily="50" charset="0"/>
              <a:ea typeface="+mn-ea"/>
              <a:cs typeface="+mn-cs"/>
            </a:rPr>
            <a:t>Հաշվետվողականություն կառավարության կողմից</a:t>
          </a:r>
          <a:endParaRPr lang="en-US" sz="1050" kern="1200">
            <a:solidFill>
              <a:sysClr val="window" lastClr="FFFFFF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742470" y="778863"/>
        <a:ext cx="1234922" cy="607400"/>
      </dsp:txXfrm>
    </dsp:sp>
    <dsp:sp modelId="{4B887234-9E57-42C7-AF63-D8D0A7FB5A48}">
      <dsp:nvSpPr>
        <dsp:cNvPr id="0" name=""/>
        <dsp:cNvSpPr/>
      </dsp:nvSpPr>
      <dsp:spPr>
        <a:xfrm>
          <a:off x="1147401" y="289388"/>
          <a:ext cx="3172702" cy="3172702"/>
        </a:xfrm>
        <a:custGeom>
          <a:avLst/>
          <a:gdLst/>
          <a:ahLst/>
          <a:cxnLst/>
          <a:rect l="0" t="0" r="0" b="0"/>
          <a:pathLst>
            <a:path>
              <a:moveTo>
                <a:pt x="469913" y="444360"/>
              </a:moveTo>
              <a:arcTo wR="1560510" hR="1560510" stAng="13539806" swAng="1502026"/>
            </a:path>
          </a:pathLst>
        </a:custGeom>
        <a:noFill/>
        <a:ln w="6350" cap="flat" cmpd="sng" algn="ctr">
          <a:solidFill>
            <a:srgbClr val="156082">
              <a:shade val="90000"/>
              <a:hueOff val="545439"/>
              <a:satOff val="-56168"/>
              <a:lumOff val="36611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37CB-B2EC-4D18-B727-45D05938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Avag Avanesyan</dc:creator>
  <cp:keywords>https:/mul2-minfin.gov.am/tasks/802298/oneclick/SOE Ownership Policy.docx?token=e5349be65461235bc31567c83c262c15</cp:keywords>
  <dc:description/>
  <cp:lastModifiedBy>Lia Hayrapetyan</cp:lastModifiedBy>
  <cp:revision>6</cp:revision>
  <dcterms:created xsi:type="dcterms:W3CDTF">2024-05-07T07:15:00Z</dcterms:created>
  <dcterms:modified xsi:type="dcterms:W3CDTF">2024-05-08T11:05:00Z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c979dc97c63523defc8449f7bd1945eedc032a5fac4688f5152d1af999609215</vt:lpwstr>
  </property>
</Properties>
</file>